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D05414">
      <w:pPr>
        <w:spacing w:line="560" w:lineRule="exact"/>
        <w:jc w:val="center"/>
        <w:rPr>
          <w:rFonts w:ascii="黑体" w:hAnsi="黑体" w:eastAsia="黑体"/>
          <w:sz w:val="32"/>
          <w:szCs w:val="28"/>
        </w:rPr>
      </w:pPr>
      <w:r>
        <w:rPr>
          <w:rFonts w:hint="eastAsia" w:ascii="黑体" w:hAnsi="黑体" w:eastAsia="黑体"/>
          <w:sz w:val="32"/>
          <w:szCs w:val="28"/>
        </w:rPr>
        <w:t>中国西部经济研究院</w:t>
      </w:r>
    </w:p>
    <w:p w14:paraId="0EC19FC3">
      <w:pPr>
        <w:spacing w:line="560" w:lineRule="exact"/>
        <w:jc w:val="center"/>
        <w:rPr>
          <w:rFonts w:ascii="黑体" w:hAnsi="黑体" w:eastAsia="黑体"/>
          <w:sz w:val="32"/>
          <w:szCs w:val="28"/>
        </w:rPr>
      </w:pPr>
      <w:r>
        <w:rPr>
          <w:rFonts w:hint="eastAsia" w:ascii="黑体" w:hAnsi="黑体" w:eastAsia="黑体"/>
          <w:sz w:val="32"/>
          <w:szCs w:val="28"/>
        </w:rPr>
        <w:t>“硕博贯通”研究生博士生资格考核实施方案</w:t>
      </w:r>
    </w:p>
    <w:p w14:paraId="3BEEB5A3">
      <w:pPr>
        <w:spacing w:line="560" w:lineRule="exact"/>
        <w:jc w:val="center"/>
        <w:rPr>
          <w:rFonts w:ascii="仿宋" w:hAnsi="仿宋" w:eastAsia="仿宋"/>
          <w:b/>
          <w:sz w:val="24"/>
          <w:szCs w:val="28"/>
        </w:rPr>
      </w:pPr>
    </w:p>
    <w:p w14:paraId="6D704C20">
      <w:pPr>
        <w:pStyle w:val="7"/>
        <w:spacing w:after="0" w:line="360" w:lineRule="auto"/>
        <w:ind w:firstLine="560"/>
        <w:jc w:val="both"/>
        <w:rPr>
          <w:rFonts w:ascii="宋体" w:hAnsi="宋体" w:eastAsia="宋体"/>
          <w:sz w:val="28"/>
          <w:szCs w:val="28"/>
        </w:rPr>
      </w:pPr>
      <w:r>
        <w:rPr>
          <w:rFonts w:hint="eastAsia" w:ascii="宋体" w:hAnsi="宋体" w:eastAsia="宋体"/>
          <w:sz w:val="28"/>
          <w:szCs w:val="28"/>
        </w:rPr>
        <w:t>为全面提高“硕博贯通”研究生培养质量和创新能力，确保博士生资格考核工作按照科学、公开、公平、公正、客观的原则进行，根据《西南财经大学“硕博贯通”研究生博士生资格考核工作暂行办法（试用）》，结合研究院实际情况，制定本实施方案。</w:t>
      </w:r>
    </w:p>
    <w:p w14:paraId="4292F5E7">
      <w:pPr>
        <w:pStyle w:val="7"/>
        <w:spacing w:after="0" w:line="360" w:lineRule="auto"/>
        <w:ind w:firstLine="560"/>
        <w:jc w:val="both"/>
        <w:rPr>
          <w:rFonts w:ascii="宋体" w:hAnsi="宋体" w:eastAsia="宋体"/>
          <w:sz w:val="28"/>
          <w:szCs w:val="28"/>
        </w:rPr>
      </w:pPr>
    </w:p>
    <w:p w14:paraId="74B695EC">
      <w:pPr>
        <w:pStyle w:val="7"/>
        <w:spacing w:after="0" w:line="360" w:lineRule="auto"/>
        <w:ind w:firstLine="562"/>
        <w:jc w:val="both"/>
        <w:rPr>
          <w:rFonts w:ascii="宋体" w:hAnsi="宋体" w:eastAsia="宋体"/>
          <w:b/>
          <w:sz w:val="28"/>
          <w:szCs w:val="28"/>
        </w:rPr>
      </w:pPr>
      <w:r>
        <w:rPr>
          <w:rFonts w:hint="eastAsia" w:ascii="宋体" w:hAnsi="宋体" w:eastAsia="宋体"/>
          <w:b/>
          <w:sz w:val="28"/>
          <w:szCs w:val="28"/>
        </w:rPr>
        <w:t>一、组织管理</w:t>
      </w:r>
    </w:p>
    <w:p w14:paraId="0716CCF7">
      <w:pPr>
        <w:pStyle w:val="7"/>
        <w:spacing w:after="0" w:line="360" w:lineRule="auto"/>
        <w:ind w:firstLine="560"/>
        <w:jc w:val="both"/>
        <w:rPr>
          <w:rFonts w:ascii="Times New Roman" w:hAnsi="Times New Roman"/>
          <w:bCs/>
          <w:sz w:val="24"/>
          <w:szCs w:val="24"/>
        </w:rPr>
      </w:pPr>
      <w:r>
        <w:rPr>
          <w:rFonts w:hint="eastAsia" w:ascii="宋体" w:hAnsi="宋体" w:eastAsia="宋体"/>
          <w:sz w:val="28"/>
          <w:szCs w:val="28"/>
        </w:rPr>
        <w:t>研究院</w:t>
      </w:r>
      <w:r>
        <w:rPr>
          <w:rFonts w:ascii="宋体" w:hAnsi="宋体" w:eastAsia="宋体"/>
          <w:sz w:val="28"/>
          <w:szCs w:val="28"/>
        </w:rPr>
        <w:t>成立</w:t>
      </w:r>
      <w:r>
        <w:rPr>
          <w:rFonts w:hint="eastAsia" w:ascii="宋体" w:hAnsi="宋体" w:eastAsia="宋体"/>
          <w:sz w:val="28"/>
          <w:szCs w:val="28"/>
        </w:rPr>
        <w:t>博士生资格考核工作</w:t>
      </w:r>
      <w:r>
        <w:rPr>
          <w:rFonts w:ascii="宋体" w:hAnsi="宋体" w:eastAsia="宋体"/>
          <w:sz w:val="28"/>
          <w:szCs w:val="28"/>
        </w:rPr>
        <w:t>小组，全面负责</w:t>
      </w:r>
      <w:r>
        <w:rPr>
          <w:rFonts w:hint="eastAsia" w:ascii="宋体" w:hAnsi="宋体" w:eastAsia="宋体"/>
          <w:sz w:val="28"/>
          <w:szCs w:val="28"/>
        </w:rPr>
        <w:t>普通“硕博贯通”研究生博士生资格考核</w:t>
      </w:r>
      <w:r>
        <w:rPr>
          <w:rFonts w:ascii="宋体" w:hAnsi="宋体" w:eastAsia="宋体"/>
          <w:sz w:val="28"/>
          <w:szCs w:val="28"/>
        </w:rPr>
        <w:t>工作，并负责受理考生的申诉。</w:t>
      </w:r>
    </w:p>
    <w:p w14:paraId="268278B2">
      <w:pPr>
        <w:pStyle w:val="7"/>
        <w:spacing w:after="0" w:line="360" w:lineRule="auto"/>
        <w:ind w:firstLine="560"/>
        <w:jc w:val="both"/>
        <w:rPr>
          <w:rFonts w:ascii="宋体" w:hAnsi="宋体" w:eastAsia="宋体"/>
          <w:sz w:val="28"/>
          <w:szCs w:val="28"/>
        </w:rPr>
      </w:pPr>
      <w:r>
        <w:rPr>
          <w:rFonts w:ascii="宋体" w:hAnsi="宋体" w:eastAsia="宋体"/>
          <w:sz w:val="28"/>
          <w:szCs w:val="28"/>
        </w:rPr>
        <w:t>申诉电话：</w:t>
      </w:r>
      <w:r>
        <w:rPr>
          <w:rFonts w:hint="eastAsia" w:ascii="宋体" w:hAnsi="宋体" w:eastAsia="宋体"/>
          <w:sz w:val="28"/>
          <w:szCs w:val="28"/>
        </w:rPr>
        <w:t>028-</w:t>
      </w:r>
      <w:r>
        <w:rPr>
          <w:rFonts w:ascii="宋体" w:hAnsi="宋体" w:eastAsia="宋体"/>
          <w:sz w:val="28"/>
          <w:szCs w:val="28"/>
        </w:rPr>
        <w:t>87081800</w:t>
      </w:r>
    </w:p>
    <w:p w14:paraId="72100F42">
      <w:pPr>
        <w:pStyle w:val="7"/>
        <w:spacing w:after="0" w:line="360" w:lineRule="auto"/>
        <w:ind w:firstLine="560"/>
        <w:jc w:val="both"/>
        <w:rPr>
          <w:rFonts w:ascii="宋体" w:hAnsi="宋体" w:eastAsia="宋体"/>
          <w:sz w:val="28"/>
          <w:szCs w:val="28"/>
        </w:rPr>
      </w:pPr>
    </w:p>
    <w:p w14:paraId="180023CD">
      <w:pPr>
        <w:pStyle w:val="7"/>
        <w:spacing w:after="0" w:line="360" w:lineRule="auto"/>
        <w:ind w:firstLine="562"/>
        <w:jc w:val="both"/>
        <w:rPr>
          <w:rFonts w:ascii="宋体" w:hAnsi="宋体" w:eastAsia="宋体"/>
          <w:b/>
          <w:sz w:val="28"/>
          <w:szCs w:val="28"/>
        </w:rPr>
      </w:pPr>
      <w:r>
        <w:rPr>
          <w:rFonts w:hint="eastAsia" w:ascii="宋体" w:hAnsi="宋体" w:eastAsia="宋体"/>
          <w:b/>
          <w:sz w:val="28"/>
          <w:szCs w:val="28"/>
        </w:rPr>
        <w:t>二、考核工作要求</w:t>
      </w:r>
    </w:p>
    <w:p w14:paraId="4E351D3C">
      <w:pPr>
        <w:spacing w:after="0" w:line="360" w:lineRule="auto"/>
        <w:ind w:firstLine="560" w:firstLineChars="200"/>
        <w:jc w:val="both"/>
        <w:rPr>
          <w:rFonts w:ascii="宋体" w:hAnsi="宋体" w:eastAsia="宋体"/>
          <w:sz w:val="28"/>
          <w:szCs w:val="28"/>
        </w:rPr>
      </w:pPr>
      <w:r>
        <w:rPr>
          <w:rFonts w:hint="eastAsia" w:ascii="宋体" w:hAnsi="宋体" w:eastAsia="宋体"/>
          <w:sz w:val="28"/>
          <w:szCs w:val="28"/>
        </w:rPr>
        <w:t>（一）考核小组成员</w:t>
      </w:r>
    </w:p>
    <w:p w14:paraId="1234DE9C">
      <w:pPr>
        <w:spacing w:after="0" w:line="360" w:lineRule="auto"/>
        <w:ind w:firstLine="560" w:firstLineChars="200"/>
        <w:jc w:val="both"/>
        <w:rPr>
          <w:rFonts w:ascii="宋体" w:hAnsi="宋体" w:eastAsia="宋体"/>
          <w:sz w:val="28"/>
          <w:szCs w:val="28"/>
        </w:rPr>
      </w:pPr>
      <w:r>
        <w:rPr>
          <w:rFonts w:hint="eastAsia" w:ascii="宋体" w:hAnsi="宋体" w:eastAsia="宋体"/>
          <w:sz w:val="28"/>
          <w:szCs w:val="28"/>
        </w:rPr>
        <w:t>由相关专业3名博士生导师、1名分党委成员和1名记录员组成。</w:t>
      </w:r>
    </w:p>
    <w:p w14:paraId="35B8BA2B">
      <w:pPr>
        <w:spacing w:after="0" w:line="360" w:lineRule="auto"/>
        <w:ind w:firstLine="560" w:firstLineChars="200"/>
        <w:jc w:val="both"/>
        <w:rPr>
          <w:rFonts w:ascii="宋体" w:hAnsi="宋体" w:eastAsia="宋体"/>
          <w:sz w:val="28"/>
          <w:szCs w:val="28"/>
        </w:rPr>
      </w:pPr>
      <w:r>
        <w:rPr>
          <w:rFonts w:hint="eastAsia" w:ascii="宋体" w:hAnsi="宋体" w:eastAsia="宋体"/>
          <w:sz w:val="28"/>
          <w:szCs w:val="28"/>
        </w:rPr>
        <w:t>（二）考核方式</w:t>
      </w:r>
    </w:p>
    <w:p w14:paraId="656E7402">
      <w:pPr>
        <w:spacing w:after="0" w:line="360" w:lineRule="auto"/>
        <w:ind w:firstLine="560" w:firstLineChars="200"/>
        <w:jc w:val="both"/>
        <w:rPr>
          <w:rFonts w:ascii="宋体" w:hAnsi="宋体" w:eastAsia="宋体"/>
          <w:color w:val="FF0000"/>
          <w:sz w:val="28"/>
          <w:szCs w:val="28"/>
        </w:rPr>
      </w:pPr>
      <w:r>
        <w:rPr>
          <w:rFonts w:hint="eastAsia" w:ascii="宋体" w:hAnsi="宋体" w:eastAsia="宋体"/>
          <w:sz w:val="28"/>
          <w:szCs w:val="28"/>
        </w:rPr>
        <w:t xml:space="preserve"> 笔试+面试。</w:t>
      </w:r>
    </w:p>
    <w:p w14:paraId="7F4319BE">
      <w:pPr>
        <w:spacing w:after="0" w:line="360" w:lineRule="auto"/>
        <w:ind w:firstLine="560" w:firstLineChars="200"/>
        <w:jc w:val="both"/>
        <w:rPr>
          <w:rFonts w:ascii="宋体" w:hAnsi="宋体" w:eastAsia="宋体"/>
          <w:sz w:val="28"/>
          <w:szCs w:val="28"/>
        </w:rPr>
      </w:pPr>
      <w:r>
        <w:rPr>
          <w:rFonts w:hint="eastAsia" w:ascii="宋体" w:hAnsi="宋体" w:eastAsia="宋体"/>
          <w:sz w:val="28"/>
          <w:szCs w:val="28"/>
        </w:rPr>
        <w:t>（三）考核内容及评价指标（权重）</w:t>
      </w:r>
    </w:p>
    <w:p w14:paraId="616776BE">
      <w:pPr>
        <w:spacing w:after="0" w:line="360" w:lineRule="auto"/>
        <w:ind w:firstLine="560" w:firstLineChars="200"/>
        <w:jc w:val="both"/>
        <w:rPr>
          <w:rFonts w:ascii="宋体" w:hAnsi="宋体" w:eastAsia="宋体"/>
          <w:sz w:val="28"/>
          <w:szCs w:val="28"/>
        </w:rPr>
      </w:pPr>
      <w:r>
        <w:rPr>
          <w:rFonts w:hint="eastAsia" w:ascii="宋体" w:hAnsi="宋体" w:eastAsia="宋体"/>
          <w:sz w:val="28"/>
          <w:szCs w:val="28"/>
        </w:rPr>
        <w:t>重点考核学生的思想政治素质和品德、专业素养、科研潜力和外语水平等。</w:t>
      </w:r>
    </w:p>
    <w:p w14:paraId="16E26A2F">
      <w:pPr>
        <w:spacing w:after="0" w:line="360" w:lineRule="auto"/>
        <w:ind w:firstLine="560" w:firstLineChars="200"/>
        <w:jc w:val="both"/>
        <w:rPr>
          <w:rFonts w:ascii="宋体" w:hAnsi="宋体" w:eastAsia="宋体"/>
          <w:sz w:val="28"/>
          <w:szCs w:val="28"/>
        </w:rPr>
      </w:pPr>
      <w:r>
        <w:rPr>
          <w:rFonts w:hint="eastAsia" w:ascii="宋体" w:hAnsi="宋体" w:eastAsia="宋体"/>
          <w:sz w:val="28"/>
          <w:szCs w:val="28"/>
        </w:rPr>
        <w:t>1、笔试。提交研究计划报告，内容可包括博士毕业论文的研究方向和内容、以及攻博期间计划申报的课题等，一般不少于4000字，主要考核专业核心基础知识、研究方法和写作能力等。具体评价指标及权重如下：</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2268"/>
        <w:gridCol w:w="4784"/>
      </w:tblGrid>
      <w:tr w14:paraId="3E343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1668" w:type="dxa"/>
            <w:vAlign w:val="center"/>
          </w:tcPr>
          <w:p w14:paraId="09352DDC">
            <w:pPr>
              <w:spacing w:after="0" w:line="276" w:lineRule="auto"/>
              <w:jc w:val="center"/>
              <w:rPr>
                <w:rFonts w:ascii="宋体" w:hAnsi="宋体" w:eastAsia="宋体"/>
                <w:b/>
                <w:sz w:val="21"/>
                <w:szCs w:val="21"/>
              </w:rPr>
            </w:pPr>
            <w:r>
              <w:rPr>
                <w:rFonts w:hint="eastAsia" w:ascii="宋体" w:hAnsi="宋体" w:eastAsia="宋体"/>
                <w:b/>
                <w:sz w:val="21"/>
                <w:szCs w:val="21"/>
              </w:rPr>
              <w:t>一级指标</w:t>
            </w:r>
          </w:p>
        </w:tc>
        <w:tc>
          <w:tcPr>
            <w:tcW w:w="2268" w:type="dxa"/>
            <w:vAlign w:val="center"/>
          </w:tcPr>
          <w:p w14:paraId="36415ED0">
            <w:pPr>
              <w:spacing w:after="0" w:line="276" w:lineRule="auto"/>
              <w:jc w:val="center"/>
              <w:rPr>
                <w:rFonts w:ascii="宋体" w:hAnsi="宋体" w:eastAsia="宋体"/>
                <w:b/>
                <w:sz w:val="21"/>
                <w:szCs w:val="21"/>
              </w:rPr>
            </w:pPr>
            <w:r>
              <w:rPr>
                <w:rFonts w:hint="eastAsia" w:ascii="宋体" w:hAnsi="宋体" w:eastAsia="宋体"/>
                <w:b/>
                <w:sz w:val="21"/>
                <w:szCs w:val="21"/>
              </w:rPr>
              <w:t>二级指标</w:t>
            </w:r>
          </w:p>
        </w:tc>
        <w:tc>
          <w:tcPr>
            <w:tcW w:w="4784" w:type="dxa"/>
            <w:vAlign w:val="center"/>
          </w:tcPr>
          <w:p w14:paraId="7D30498B">
            <w:pPr>
              <w:spacing w:after="0" w:line="276" w:lineRule="auto"/>
              <w:jc w:val="center"/>
              <w:rPr>
                <w:rFonts w:ascii="宋体" w:hAnsi="宋体" w:eastAsia="宋体"/>
                <w:b/>
                <w:sz w:val="21"/>
                <w:szCs w:val="21"/>
              </w:rPr>
            </w:pPr>
            <w:r>
              <w:rPr>
                <w:rFonts w:hint="eastAsia" w:ascii="宋体" w:hAnsi="宋体" w:eastAsia="宋体"/>
                <w:b/>
                <w:sz w:val="21"/>
                <w:szCs w:val="21"/>
              </w:rPr>
              <w:t>评价要素</w:t>
            </w:r>
          </w:p>
        </w:tc>
      </w:tr>
      <w:tr w14:paraId="4F293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Merge w:val="restart"/>
            <w:vAlign w:val="center"/>
          </w:tcPr>
          <w:p w14:paraId="240792AD">
            <w:pPr>
              <w:spacing w:after="0" w:line="276" w:lineRule="auto"/>
              <w:jc w:val="center"/>
              <w:rPr>
                <w:rFonts w:ascii="宋体" w:hAnsi="宋体" w:eastAsia="宋体"/>
                <w:sz w:val="21"/>
                <w:szCs w:val="21"/>
              </w:rPr>
            </w:pPr>
            <w:r>
              <w:rPr>
                <w:rFonts w:hint="eastAsia" w:ascii="宋体" w:hAnsi="宋体" w:eastAsia="宋体"/>
                <w:sz w:val="21"/>
                <w:szCs w:val="21"/>
              </w:rPr>
              <w:t>选题与综述</w:t>
            </w:r>
          </w:p>
          <w:p w14:paraId="0ABAE173">
            <w:pPr>
              <w:spacing w:after="0" w:line="276" w:lineRule="auto"/>
              <w:jc w:val="center"/>
              <w:rPr>
                <w:rFonts w:ascii="宋体" w:hAnsi="宋体" w:eastAsia="宋体"/>
                <w:sz w:val="21"/>
                <w:szCs w:val="21"/>
              </w:rPr>
            </w:pPr>
            <w:r>
              <w:rPr>
                <w:rFonts w:hint="eastAsia" w:ascii="宋体" w:hAnsi="宋体" w:eastAsia="宋体"/>
                <w:sz w:val="21"/>
                <w:szCs w:val="21"/>
              </w:rPr>
              <w:t>（权重：0.3）</w:t>
            </w:r>
          </w:p>
        </w:tc>
        <w:tc>
          <w:tcPr>
            <w:tcW w:w="2268" w:type="dxa"/>
            <w:vAlign w:val="center"/>
          </w:tcPr>
          <w:p w14:paraId="142AD2B6">
            <w:pPr>
              <w:spacing w:after="0" w:line="276" w:lineRule="auto"/>
              <w:jc w:val="both"/>
              <w:rPr>
                <w:rFonts w:ascii="宋体" w:hAnsi="宋体" w:eastAsia="宋体"/>
                <w:sz w:val="21"/>
                <w:szCs w:val="21"/>
              </w:rPr>
            </w:pPr>
            <w:r>
              <w:rPr>
                <w:rFonts w:hint="eastAsia" w:ascii="宋体" w:hAnsi="宋体" w:eastAsia="宋体"/>
                <w:sz w:val="21"/>
                <w:szCs w:val="21"/>
              </w:rPr>
              <w:t>选题的理论意义和现实意义</w:t>
            </w:r>
          </w:p>
          <w:p w14:paraId="0B77917D">
            <w:pPr>
              <w:spacing w:after="0" w:line="276" w:lineRule="auto"/>
              <w:jc w:val="center"/>
              <w:rPr>
                <w:rFonts w:ascii="宋体" w:hAnsi="宋体" w:eastAsia="宋体"/>
                <w:sz w:val="21"/>
                <w:szCs w:val="21"/>
              </w:rPr>
            </w:pPr>
            <w:r>
              <w:rPr>
                <w:rFonts w:hint="eastAsia" w:ascii="宋体" w:hAnsi="宋体" w:eastAsia="宋体"/>
                <w:sz w:val="21"/>
                <w:szCs w:val="21"/>
              </w:rPr>
              <w:t>（权重：0.6）</w:t>
            </w:r>
          </w:p>
        </w:tc>
        <w:tc>
          <w:tcPr>
            <w:tcW w:w="4784" w:type="dxa"/>
            <w:vAlign w:val="center"/>
          </w:tcPr>
          <w:p w14:paraId="2EE92634">
            <w:pPr>
              <w:spacing w:after="0" w:line="276" w:lineRule="auto"/>
              <w:jc w:val="both"/>
              <w:rPr>
                <w:rFonts w:ascii="宋体" w:hAnsi="宋体" w:eastAsia="宋体"/>
                <w:sz w:val="21"/>
                <w:szCs w:val="21"/>
              </w:rPr>
            </w:pPr>
            <w:r>
              <w:rPr>
                <w:rFonts w:hint="eastAsia" w:ascii="宋体" w:hAnsi="宋体" w:eastAsia="宋体"/>
                <w:sz w:val="21"/>
                <w:szCs w:val="21"/>
              </w:rPr>
              <w:t>选题为学科前沿，具有开创性；具有较大的理论意义和较大的现实意义；研究方向明确。</w:t>
            </w:r>
          </w:p>
        </w:tc>
      </w:tr>
      <w:tr w14:paraId="0A89C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Merge w:val="continue"/>
            <w:vAlign w:val="center"/>
          </w:tcPr>
          <w:p w14:paraId="518EDECE">
            <w:pPr>
              <w:spacing w:after="0" w:line="276" w:lineRule="auto"/>
              <w:jc w:val="center"/>
              <w:rPr>
                <w:rFonts w:ascii="宋体" w:hAnsi="宋体" w:eastAsia="宋体"/>
                <w:sz w:val="21"/>
                <w:szCs w:val="21"/>
              </w:rPr>
            </w:pPr>
          </w:p>
        </w:tc>
        <w:tc>
          <w:tcPr>
            <w:tcW w:w="2268" w:type="dxa"/>
            <w:vAlign w:val="center"/>
          </w:tcPr>
          <w:p w14:paraId="198230C0">
            <w:pPr>
              <w:spacing w:after="0" w:line="276" w:lineRule="auto"/>
              <w:jc w:val="both"/>
              <w:rPr>
                <w:rFonts w:ascii="宋体" w:hAnsi="宋体" w:eastAsia="宋体"/>
                <w:sz w:val="21"/>
                <w:szCs w:val="21"/>
              </w:rPr>
            </w:pPr>
            <w:r>
              <w:rPr>
                <w:rFonts w:hint="eastAsia" w:ascii="宋体" w:hAnsi="宋体" w:eastAsia="宋体"/>
                <w:sz w:val="21"/>
                <w:szCs w:val="21"/>
              </w:rPr>
              <w:t>对本学科及相关领域的文献综述与总结</w:t>
            </w:r>
          </w:p>
          <w:p w14:paraId="2BE70D49">
            <w:pPr>
              <w:spacing w:after="0" w:line="276" w:lineRule="auto"/>
              <w:jc w:val="center"/>
              <w:rPr>
                <w:rFonts w:ascii="宋体" w:hAnsi="宋体" w:eastAsia="宋体"/>
                <w:sz w:val="21"/>
                <w:szCs w:val="21"/>
              </w:rPr>
            </w:pPr>
            <w:r>
              <w:rPr>
                <w:rFonts w:hint="eastAsia" w:ascii="宋体" w:hAnsi="宋体" w:eastAsia="宋体"/>
                <w:sz w:val="21"/>
                <w:szCs w:val="21"/>
              </w:rPr>
              <w:t>（权重：0.4）</w:t>
            </w:r>
          </w:p>
        </w:tc>
        <w:tc>
          <w:tcPr>
            <w:tcW w:w="4784" w:type="dxa"/>
            <w:vAlign w:val="center"/>
          </w:tcPr>
          <w:p w14:paraId="06DBC6BA">
            <w:pPr>
              <w:spacing w:after="0" w:line="276" w:lineRule="auto"/>
              <w:jc w:val="both"/>
              <w:rPr>
                <w:rFonts w:ascii="宋体" w:hAnsi="宋体" w:eastAsia="宋体"/>
                <w:sz w:val="21"/>
                <w:szCs w:val="21"/>
              </w:rPr>
            </w:pPr>
            <w:r>
              <w:rPr>
                <w:rFonts w:hint="eastAsia" w:ascii="宋体" w:hAnsi="宋体" w:eastAsia="宋体"/>
                <w:sz w:val="21"/>
                <w:szCs w:val="21"/>
              </w:rPr>
              <w:t>综合、全面地反映该学科及相关领域的发展状况，归纳、总结正确。</w:t>
            </w:r>
          </w:p>
        </w:tc>
      </w:tr>
      <w:tr w14:paraId="63764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Merge w:val="restart"/>
            <w:vAlign w:val="center"/>
          </w:tcPr>
          <w:p w14:paraId="17B50A1C">
            <w:pPr>
              <w:spacing w:after="0" w:line="276" w:lineRule="auto"/>
              <w:jc w:val="center"/>
              <w:rPr>
                <w:rFonts w:ascii="宋体" w:hAnsi="宋体" w:eastAsia="宋体"/>
                <w:sz w:val="21"/>
                <w:szCs w:val="21"/>
              </w:rPr>
            </w:pPr>
            <w:r>
              <w:rPr>
                <w:rFonts w:hint="eastAsia" w:ascii="宋体" w:hAnsi="宋体" w:eastAsia="宋体"/>
                <w:sz w:val="21"/>
                <w:szCs w:val="21"/>
              </w:rPr>
              <w:t>创新性与</w:t>
            </w:r>
          </w:p>
          <w:p w14:paraId="2CA2B9EB">
            <w:pPr>
              <w:spacing w:after="0" w:line="276" w:lineRule="auto"/>
              <w:jc w:val="center"/>
              <w:rPr>
                <w:rFonts w:ascii="宋体" w:hAnsi="宋体" w:eastAsia="宋体"/>
                <w:sz w:val="21"/>
                <w:szCs w:val="21"/>
              </w:rPr>
            </w:pPr>
            <w:r>
              <w:rPr>
                <w:rFonts w:hint="eastAsia" w:ascii="宋体" w:hAnsi="宋体" w:eastAsia="宋体"/>
                <w:sz w:val="21"/>
                <w:szCs w:val="21"/>
              </w:rPr>
              <w:t>研究方法</w:t>
            </w:r>
          </w:p>
          <w:p w14:paraId="22A13692">
            <w:pPr>
              <w:spacing w:after="0" w:line="276" w:lineRule="auto"/>
              <w:jc w:val="center"/>
              <w:rPr>
                <w:rFonts w:ascii="宋体" w:hAnsi="宋体" w:eastAsia="宋体"/>
                <w:sz w:val="21"/>
                <w:szCs w:val="21"/>
              </w:rPr>
            </w:pPr>
            <w:r>
              <w:rPr>
                <w:rFonts w:hint="eastAsia" w:ascii="宋体" w:hAnsi="宋体" w:eastAsia="宋体"/>
                <w:sz w:val="21"/>
                <w:szCs w:val="21"/>
              </w:rPr>
              <w:t>（权重：0.3）</w:t>
            </w:r>
          </w:p>
        </w:tc>
        <w:tc>
          <w:tcPr>
            <w:tcW w:w="2268" w:type="dxa"/>
            <w:vAlign w:val="center"/>
          </w:tcPr>
          <w:p w14:paraId="46F66ABB">
            <w:pPr>
              <w:spacing w:after="0" w:line="276" w:lineRule="auto"/>
              <w:jc w:val="both"/>
              <w:rPr>
                <w:rFonts w:ascii="宋体" w:hAnsi="宋体" w:eastAsia="宋体"/>
                <w:sz w:val="21"/>
                <w:szCs w:val="21"/>
              </w:rPr>
            </w:pPr>
            <w:r>
              <w:rPr>
                <w:rFonts w:hint="eastAsia" w:ascii="宋体" w:hAnsi="宋体" w:eastAsia="宋体"/>
                <w:sz w:val="21"/>
                <w:szCs w:val="21"/>
              </w:rPr>
              <w:t>在理论或方法上的创新性</w:t>
            </w:r>
          </w:p>
          <w:p w14:paraId="7EEB194C">
            <w:pPr>
              <w:spacing w:after="0" w:line="276" w:lineRule="auto"/>
              <w:jc w:val="center"/>
              <w:rPr>
                <w:rFonts w:ascii="宋体" w:hAnsi="宋体" w:eastAsia="宋体"/>
                <w:sz w:val="21"/>
                <w:szCs w:val="21"/>
              </w:rPr>
            </w:pPr>
            <w:r>
              <w:rPr>
                <w:rFonts w:hint="eastAsia" w:ascii="宋体" w:hAnsi="宋体" w:eastAsia="宋体"/>
                <w:sz w:val="21"/>
                <w:szCs w:val="21"/>
              </w:rPr>
              <w:t>（权重：0.5）</w:t>
            </w:r>
          </w:p>
        </w:tc>
        <w:tc>
          <w:tcPr>
            <w:tcW w:w="4784" w:type="dxa"/>
            <w:vAlign w:val="center"/>
          </w:tcPr>
          <w:p w14:paraId="1E2CE3F6">
            <w:pPr>
              <w:spacing w:after="0" w:line="276" w:lineRule="auto"/>
              <w:jc w:val="both"/>
              <w:rPr>
                <w:rFonts w:ascii="宋体" w:hAnsi="宋体" w:eastAsia="宋体"/>
                <w:sz w:val="21"/>
                <w:szCs w:val="21"/>
              </w:rPr>
            </w:pPr>
            <w:r>
              <w:rPr>
                <w:rFonts w:hint="eastAsia" w:ascii="宋体" w:hAnsi="宋体" w:eastAsia="宋体"/>
                <w:sz w:val="21"/>
                <w:szCs w:val="21"/>
              </w:rPr>
              <w:t>在本学科领域达到或接近国际先进水平或国内领先水平；运用新视角、新方法进行探索、研究，有独到见解。</w:t>
            </w:r>
          </w:p>
        </w:tc>
      </w:tr>
      <w:tr w14:paraId="7779F4F9">
        <w:tblPrEx>
          <w:tblCellMar>
            <w:top w:w="0" w:type="dxa"/>
            <w:left w:w="108" w:type="dxa"/>
            <w:bottom w:w="0" w:type="dxa"/>
            <w:right w:w="108" w:type="dxa"/>
          </w:tblCellMar>
        </w:tblPrEx>
        <w:tc>
          <w:tcPr>
            <w:tcW w:w="1668" w:type="dxa"/>
            <w:vMerge w:val="continue"/>
            <w:vAlign w:val="center"/>
          </w:tcPr>
          <w:p w14:paraId="3D559AA8">
            <w:pPr>
              <w:spacing w:after="0" w:line="276" w:lineRule="auto"/>
              <w:jc w:val="center"/>
              <w:rPr>
                <w:rFonts w:ascii="宋体" w:hAnsi="宋体" w:eastAsia="宋体"/>
                <w:sz w:val="21"/>
                <w:szCs w:val="21"/>
              </w:rPr>
            </w:pPr>
          </w:p>
        </w:tc>
        <w:tc>
          <w:tcPr>
            <w:tcW w:w="2268" w:type="dxa"/>
            <w:vAlign w:val="center"/>
          </w:tcPr>
          <w:p w14:paraId="0028356B">
            <w:pPr>
              <w:spacing w:after="0" w:line="276" w:lineRule="auto"/>
              <w:jc w:val="both"/>
              <w:rPr>
                <w:rFonts w:ascii="宋体" w:hAnsi="宋体" w:eastAsia="宋体"/>
                <w:sz w:val="21"/>
                <w:szCs w:val="21"/>
              </w:rPr>
            </w:pPr>
            <w:r>
              <w:rPr>
                <w:rFonts w:hint="eastAsia" w:ascii="宋体" w:hAnsi="宋体" w:eastAsia="宋体"/>
                <w:sz w:val="21"/>
                <w:szCs w:val="21"/>
              </w:rPr>
              <w:t>研究方法的科学性与合理性</w:t>
            </w:r>
          </w:p>
          <w:p w14:paraId="200CC9FA">
            <w:pPr>
              <w:spacing w:after="0" w:line="276" w:lineRule="auto"/>
              <w:jc w:val="center"/>
              <w:rPr>
                <w:rFonts w:ascii="宋体" w:hAnsi="宋体" w:eastAsia="宋体"/>
                <w:sz w:val="21"/>
                <w:szCs w:val="21"/>
              </w:rPr>
            </w:pPr>
            <w:r>
              <w:rPr>
                <w:rFonts w:hint="eastAsia" w:ascii="宋体" w:hAnsi="宋体" w:eastAsia="宋体"/>
                <w:sz w:val="21"/>
                <w:szCs w:val="21"/>
              </w:rPr>
              <w:t>（权重：0.5）</w:t>
            </w:r>
          </w:p>
        </w:tc>
        <w:tc>
          <w:tcPr>
            <w:tcW w:w="4784" w:type="dxa"/>
            <w:vAlign w:val="center"/>
          </w:tcPr>
          <w:p w14:paraId="49243A82">
            <w:pPr>
              <w:spacing w:after="0" w:line="276" w:lineRule="auto"/>
              <w:jc w:val="both"/>
              <w:rPr>
                <w:rFonts w:ascii="宋体" w:hAnsi="宋体" w:eastAsia="宋体"/>
                <w:sz w:val="21"/>
                <w:szCs w:val="21"/>
              </w:rPr>
            </w:pPr>
            <w:r>
              <w:rPr>
                <w:rFonts w:hint="eastAsia" w:ascii="宋体" w:hAnsi="宋体" w:eastAsia="宋体"/>
                <w:sz w:val="21"/>
                <w:szCs w:val="21"/>
              </w:rPr>
              <w:t>研究方法科学、合理。</w:t>
            </w:r>
          </w:p>
        </w:tc>
      </w:tr>
      <w:tr w14:paraId="7276A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Merge w:val="restart"/>
            <w:vAlign w:val="center"/>
          </w:tcPr>
          <w:p w14:paraId="130F6EB9">
            <w:pPr>
              <w:spacing w:after="0" w:line="276" w:lineRule="auto"/>
              <w:jc w:val="center"/>
              <w:rPr>
                <w:rFonts w:ascii="宋体" w:hAnsi="宋体" w:eastAsia="宋体"/>
                <w:sz w:val="21"/>
                <w:szCs w:val="21"/>
              </w:rPr>
            </w:pPr>
            <w:r>
              <w:rPr>
                <w:rFonts w:hint="eastAsia" w:ascii="宋体" w:hAnsi="宋体" w:eastAsia="宋体"/>
                <w:sz w:val="21"/>
                <w:szCs w:val="21"/>
              </w:rPr>
              <w:t>报告体现的理论基础/专业知识及科学研究能力</w:t>
            </w:r>
          </w:p>
          <w:p w14:paraId="74548267">
            <w:pPr>
              <w:spacing w:after="0" w:line="276" w:lineRule="auto"/>
              <w:jc w:val="center"/>
              <w:rPr>
                <w:rFonts w:ascii="宋体" w:hAnsi="宋体" w:eastAsia="宋体"/>
                <w:sz w:val="21"/>
                <w:szCs w:val="21"/>
              </w:rPr>
            </w:pPr>
            <w:r>
              <w:rPr>
                <w:rFonts w:hint="eastAsia" w:ascii="宋体" w:hAnsi="宋体" w:eastAsia="宋体"/>
                <w:sz w:val="21"/>
                <w:szCs w:val="21"/>
              </w:rPr>
              <w:t>（权重：0.4）</w:t>
            </w:r>
          </w:p>
        </w:tc>
        <w:tc>
          <w:tcPr>
            <w:tcW w:w="2268" w:type="dxa"/>
            <w:vAlign w:val="center"/>
          </w:tcPr>
          <w:p w14:paraId="27AA3F29">
            <w:pPr>
              <w:spacing w:after="0" w:line="276" w:lineRule="auto"/>
              <w:jc w:val="both"/>
              <w:rPr>
                <w:rFonts w:ascii="宋体" w:hAnsi="宋体" w:eastAsia="宋体"/>
                <w:sz w:val="21"/>
                <w:szCs w:val="21"/>
              </w:rPr>
            </w:pPr>
            <w:r>
              <w:rPr>
                <w:rFonts w:hint="eastAsia" w:ascii="宋体" w:hAnsi="宋体" w:eastAsia="宋体"/>
                <w:sz w:val="21"/>
                <w:szCs w:val="21"/>
              </w:rPr>
              <w:t>报告体现的理论基础及专业知识</w:t>
            </w:r>
          </w:p>
          <w:p w14:paraId="61A11113">
            <w:pPr>
              <w:spacing w:after="0" w:line="276" w:lineRule="auto"/>
              <w:jc w:val="center"/>
              <w:rPr>
                <w:rFonts w:ascii="宋体" w:hAnsi="宋体" w:eastAsia="宋体"/>
                <w:sz w:val="21"/>
                <w:szCs w:val="21"/>
              </w:rPr>
            </w:pPr>
            <w:r>
              <w:rPr>
                <w:rFonts w:hint="eastAsia" w:ascii="宋体" w:hAnsi="宋体" w:eastAsia="宋体"/>
                <w:sz w:val="21"/>
                <w:szCs w:val="21"/>
              </w:rPr>
              <w:t>（权重：0.3）</w:t>
            </w:r>
          </w:p>
        </w:tc>
        <w:tc>
          <w:tcPr>
            <w:tcW w:w="4784" w:type="dxa"/>
            <w:vAlign w:val="center"/>
          </w:tcPr>
          <w:p w14:paraId="2647F8AB">
            <w:pPr>
              <w:spacing w:after="0" w:line="276" w:lineRule="auto"/>
              <w:jc w:val="both"/>
              <w:rPr>
                <w:rFonts w:ascii="宋体" w:hAnsi="宋体" w:eastAsia="宋体"/>
                <w:sz w:val="21"/>
                <w:szCs w:val="21"/>
              </w:rPr>
            </w:pPr>
            <w:r>
              <w:rPr>
                <w:rFonts w:hint="eastAsia" w:ascii="宋体" w:hAnsi="宋体" w:eastAsia="宋体"/>
                <w:sz w:val="21"/>
                <w:szCs w:val="21"/>
              </w:rPr>
              <w:t>报告体现本学科及相关领域坚实宽广的理论基础与系统深入的专业知识。</w:t>
            </w:r>
          </w:p>
        </w:tc>
      </w:tr>
      <w:tr w14:paraId="1C3D4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Merge w:val="continue"/>
            <w:vAlign w:val="center"/>
          </w:tcPr>
          <w:p w14:paraId="2366D152">
            <w:pPr>
              <w:spacing w:after="0" w:line="276" w:lineRule="auto"/>
              <w:jc w:val="center"/>
              <w:rPr>
                <w:rFonts w:ascii="宋体" w:hAnsi="宋体" w:eastAsia="宋体"/>
                <w:sz w:val="21"/>
                <w:szCs w:val="21"/>
              </w:rPr>
            </w:pPr>
          </w:p>
        </w:tc>
        <w:tc>
          <w:tcPr>
            <w:tcW w:w="2268" w:type="dxa"/>
            <w:vAlign w:val="center"/>
          </w:tcPr>
          <w:p w14:paraId="070ACEC5">
            <w:pPr>
              <w:spacing w:after="0" w:line="276" w:lineRule="auto"/>
              <w:jc w:val="both"/>
              <w:rPr>
                <w:rFonts w:ascii="宋体" w:hAnsi="宋体" w:eastAsia="宋体"/>
                <w:sz w:val="21"/>
                <w:szCs w:val="21"/>
              </w:rPr>
            </w:pPr>
            <w:r>
              <w:rPr>
                <w:rFonts w:hint="eastAsia" w:ascii="宋体" w:hAnsi="宋体" w:eastAsia="宋体"/>
                <w:sz w:val="21"/>
                <w:szCs w:val="21"/>
              </w:rPr>
              <w:t>报告体现作者独立从事科学研究的能力</w:t>
            </w:r>
          </w:p>
          <w:p w14:paraId="38DD1AD5">
            <w:pPr>
              <w:spacing w:after="0" w:line="276" w:lineRule="auto"/>
              <w:jc w:val="center"/>
              <w:rPr>
                <w:rFonts w:ascii="宋体" w:hAnsi="宋体" w:eastAsia="宋体"/>
                <w:sz w:val="21"/>
                <w:szCs w:val="21"/>
              </w:rPr>
            </w:pPr>
            <w:r>
              <w:rPr>
                <w:rFonts w:hint="eastAsia" w:ascii="宋体" w:hAnsi="宋体" w:eastAsia="宋体"/>
                <w:sz w:val="21"/>
                <w:szCs w:val="21"/>
              </w:rPr>
              <w:t>（权重：0.4）</w:t>
            </w:r>
          </w:p>
        </w:tc>
        <w:tc>
          <w:tcPr>
            <w:tcW w:w="4784" w:type="dxa"/>
            <w:vAlign w:val="center"/>
          </w:tcPr>
          <w:p w14:paraId="5AAF7AAC">
            <w:pPr>
              <w:spacing w:after="0" w:line="276" w:lineRule="auto"/>
              <w:jc w:val="both"/>
              <w:rPr>
                <w:rFonts w:ascii="宋体" w:hAnsi="宋体" w:eastAsia="宋体"/>
                <w:sz w:val="21"/>
                <w:szCs w:val="21"/>
              </w:rPr>
            </w:pPr>
            <w:r>
              <w:rPr>
                <w:rFonts w:hint="eastAsia" w:ascii="宋体" w:hAnsi="宋体" w:eastAsia="宋体"/>
                <w:sz w:val="21"/>
                <w:szCs w:val="21"/>
              </w:rPr>
              <w:t>分析方法科学，研究难度较大，体现出作者具有很强的独立从事科学研究的能力。</w:t>
            </w:r>
          </w:p>
        </w:tc>
      </w:tr>
      <w:tr w14:paraId="0C750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2" w:hRule="atLeast"/>
        </w:trPr>
        <w:tc>
          <w:tcPr>
            <w:tcW w:w="1668" w:type="dxa"/>
            <w:vMerge w:val="continue"/>
            <w:vAlign w:val="center"/>
          </w:tcPr>
          <w:p w14:paraId="3C079B66">
            <w:pPr>
              <w:spacing w:after="0" w:line="276" w:lineRule="auto"/>
              <w:jc w:val="center"/>
              <w:rPr>
                <w:rFonts w:ascii="宋体" w:hAnsi="宋体" w:eastAsia="宋体"/>
                <w:sz w:val="21"/>
                <w:szCs w:val="21"/>
              </w:rPr>
            </w:pPr>
          </w:p>
        </w:tc>
        <w:tc>
          <w:tcPr>
            <w:tcW w:w="2268" w:type="dxa"/>
            <w:vAlign w:val="center"/>
          </w:tcPr>
          <w:p w14:paraId="24274BC4">
            <w:pPr>
              <w:spacing w:after="0" w:line="276" w:lineRule="auto"/>
              <w:jc w:val="center"/>
              <w:rPr>
                <w:rFonts w:ascii="宋体" w:hAnsi="宋体" w:eastAsia="宋体"/>
                <w:sz w:val="21"/>
                <w:szCs w:val="21"/>
              </w:rPr>
            </w:pPr>
            <w:r>
              <w:rPr>
                <w:rFonts w:hint="eastAsia" w:ascii="宋体" w:hAnsi="宋体" w:eastAsia="宋体"/>
                <w:sz w:val="21"/>
                <w:szCs w:val="21"/>
              </w:rPr>
              <w:t>写作能力</w:t>
            </w:r>
          </w:p>
          <w:p w14:paraId="5541A1F5">
            <w:pPr>
              <w:spacing w:after="0" w:line="276" w:lineRule="auto"/>
              <w:jc w:val="center"/>
              <w:rPr>
                <w:rFonts w:ascii="宋体" w:hAnsi="宋体" w:eastAsia="宋体"/>
                <w:sz w:val="21"/>
                <w:szCs w:val="21"/>
              </w:rPr>
            </w:pPr>
            <w:r>
              <w:rPr>
                <w:rFonts w:hint="eastAsia" w:ascii="宋体" w:hAnsi="宋体" w:eastAsia="宋体"/>
                <w:sz w:val="21"/>
                <w:szCs w:val="21"/>
              </w:rPr>
              <w:t>（权重：0.3）</w:t>
            </w:r>
          </w:p>
        </w:tc>
        <w:tc>
          <w:tcPr>
            <w:tcW w:w="4784" w:type="dxa"/>
            <w:vAlign w:val="center"/>
          </w:tcPr>
          <w:p w14:paraId="71C65134">
            <w:pPr>
              <w:spacing w:after="0" w:line="276" w:lineRule="auto"/>
              <w:jc w:val="both"/>
              <w:rPr>
                <w:rFonts w:ascii="宋体" w:hAnsi="宋体" w:eastAsia="宋体"/>
                <w:sz w:val="21"/>
                <w:szCs w:val="21"/>
              </w:rPr>
            </w:pPr>
            <w:r>
              <w:rPr>
                <w:rFonts w:hint="eastAsia" w:ascii="宋体" w:hAnsi="宋体" w:eastAsia="宋体"/>
                <w:sz w:val="21"/>
                <w:szCs w:val="21"/>
              </w:rPr>
              <w:t>研究材料翔实，结构严谨，推理严密，逻辑性强；文字表达准确、流畅；学风严谨。</w:t>
            </w:r>
          </w:p>
        </w:tc>
      </w:tr>
    </w:tbl>
    <w:p w14:paraId="5BEF6239">
      <w:pPr>
        <w:spacing w:before="240" w:after="0" w:line="360" w:lineRule="auto"/>
        <w:ind w:firstLine="560" w:firstLineChars="200"/>
        <w:jc w:val="both"/>
        <w:rPr>
          <w:rFonts w:ascii="宋体" w:hAnsi="宋体" w:eastAsia="宋体"/>
          <w:sz w:val="28"/>
          <w:szCs w:val="28"/>
        </w:rPr>
      </w:pPr>
      <w:r>
        <w:rPr>
          <w:rFonts w:hint="eastAsia" w:ascii="宋体" w:hAnsi="宋体" w:eastAsia="宋体"/>
          <w:sz w:val="28"/>
          <w:szCs w:val="28"/>
        </w:rPr>
        <w:t>2、面试。主要考核科研发展和创新潜力，以测试学生的专业思维的敏锐性、研究基础、外语能力等综合素质为主要内容。具体评价指标和权重如下：</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2126"/>
        <w:gridCol w:w="4926"/>
      </w:tblGrid>
      <w:tr w14:paraId="6D69E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43" w:hRule="atLeast"/>
        </w:trPr>
        <w:tc>
          <w:tcPr>
            <w:tcW w:w="1668" w:type="dxa"/>
            <w:vAlign w:val="center"/>
          </w:tcPr>
          <w:p w14:paraId="53984833">
            <w:pPr>
              <w:spacing w:after="0" w:line="276" w:lineRule="auto"/>
              <w:jc w:val="center"/>
              <w:rPr>
                <w:rFonts w:ascii="宋体" w:hAnsi="宋体" w:eastAsia="宋体"/>
                <w:b/>
                <w:sz w:val="21"/>
                <w:szCs w:val="21"/>
              </w:rPr>
            </w:pPr>
            <w:r>
              <w:rPr>
                <w:rFonts w:hint="eastAsia" w:ascii="宋体" w:hAnsi="宋体" w:eastAsia="宋体"/>
                <w:b/>
                <w:sz w:val="21"/>
                <w:szCs w:val="21"/>
              </w:rPr>
              <w:t>一级指标</w:t>
            </w:r>
          </w:p>
        </w:tc>
        <w:tc>
          <w:tcPr>
            <w:tcW w:w="2126" w:type="dxa"/>
            <w:vAlign w:val="center"/>
          </w:tcPr>
          <w:p w14:paraId="09706F72">
            <w:pPr>
              <w:spacing w:after="0" w:line="276" w:lineRule="auto"/>
              <w:jc w:val="center"/>
              <w:rPr>
                <w:rFonts w:ascii="宋体" w:hAnsi="宋体" w:eastAsia="宋体"/>
                <w:b/>
                <w:sz w:val="21"/>
                <w:szCs w:val="21"/>
              </w:rPr>
            </w:pPr>
            <w:r>
              <w:rPr>
                <w:rFonts w:hint="eastAsia" w:ascii="宋体" w:hAnsi="宋体" w:eastAsia="宋体"/>
                <w:b/>
                <w:sz w:val="21"/>
                <w:szCs w:val="21"/>
              </w:rPr>
              <w:t>二级指标</w:t>
            </w:r>
          </w:p>
        </w:tc>
        <w:tc>
          <w:tcPr>
            <w:tcW w:w="4926" w:type="dxa"/>
            <w:vAlign w:val="center"/>
          </w:tcPr>
          <w:p w14:paraId="593903A1">
            <w:pPr>
              <w:spacing w:after="0" w:line="276" w:lineRule="auto"/>
              <w:jc w:val="center"/>
              <w:rPr>
                <w:rFonts w:ascii="宋体" w:hAnsi="宋体" w:eastAsia="宋体"/>
                <w:b/>
                <w:sz w:val="21"/>
                <w:szCs w:val="21"/>
              </w:rPr>
            </w:pPr>
            <w:r>
              <w:rPr>
                <w:rFonts w:hint="eastAsia" w:ascii="宋体" w:hAnsi="宋体" w:eastAsia="宋体"/>
                <w:b/>
                <w:sz w:val="21"/>
                <w:szCs w:val="21"/>
              </w:rPr>
              <w:t>评价要素</w:t>
            </w:r>
          </w:p>
        </w:tc>
      </w:tr>
      <w:tr w14:paraId="6A04F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1668" w:type="dxa"/>
            <w:vMerge w:val="restart"/>
            <w:vAlign w:val="center"/>
          </w:tcPr>
          <w:p w14:paraId="5C5244A2">
            <w:pPr>
              <w:spacing w:after="0" w:line="276" w:lineRule="auto"/>
              <w:jc w:val="center"/>
              <w:rPr>
                <w:rFonts w:ascii="宋体" w:hAnsi="宋体" w:eastAsia="宋体"/>
                <w:sz w:val="21"/>
                <w:szCs w:val="21"/>
              </w:rPr>
            </w:pPr>
            <w:r>
              <w:rPr>
                <w:rFonts w:hint="eastAsia" w:ascii="宋体" w:hAnsi="宋体" w:eastAsia="宋体"/>
                <w:sz w:val="21"/>
                <w:szCs w:val="21"/>
              </w:rPr>
              <w:t>专业素质</w:t>
            </w:r>
          </w:p>
          <w:p w14:paraId="0B031040">
            <w:pPr>
              <w:spacing w:after="0" w:line="276" w:lineRule="auto"/>
              <w:jc w:val="center"/>
              <w:rPr>
                <w:rFonts w:ascii="宋体" w:hAnsi="宋体" w:eastAsia="宋体"/>
                <w:sz w:val="21"/>
                <w:szCs w:val="21"/>
              </w:rPr>
            </w:pPr>
            <w:r>
              <w:rPr>
                <w:rFonts w:hint="eastAsia" w:ascii="宋体" w:hAnsi="宋体" w:eastAsia="宋体"/>
                <w:sz w:val="21"/>
                <w:szCs w:val="21"/>
              </w:rPr>
              <w:t>（权重：0.2）</w:t>
            </w:r>
          </w:p>
        </w:tc>
        <w:tc>
          <w:tcPr>
            <w:tcW w:w="2126" w:type="dxa"/>
            <w:vAlign w:val="center"/>
          </w:tcPr>
          <w:p w14:paraId="1407A9D0">
            <w:pPr>
              <w:spacing w:after="0" w:line="276" w:lineRule="auto"/>
              <w:jc w:val="center"/>
              <w:rPr>
                <w:rFonts w:ascii="宋体" w:hAnsi="宋体" w:eastAsia="宋体"/>
                <w:sz w:val="21"/>
                <w:szCs w:val="21"/>
              </w:rPr>
            </w:pPr>
            <w:r>
              <w:rPr>
                <w:rFonts w:hint="eastAsia" w:ascii="宋体" w:hAnsi="宋体" w:eastAsia="宋体"/>
                <w:sz w:val="21"/>
                <w:szCs w:val="21"/>
              </w:rPr>
              <w:t>学习情况</w:t>
            </w:r>
          </w:p>
          <w:p w14:paraId="6AA5E3B0">
            <w:pPr>
              <w:spacing w:after="0" w:line="276" w:lineRule="auto"/>
              <w:jc w:val="center"/>
              <w:rPr>
                <w:rFonts w:ascii="宋体" w:hAnsi="宋体" w:eastAsia="宋体"/>
                <w:sz w:val="21"/>
                <w:szCs w:val="21"/>
              </w:rPr>
            </w:pPr>
            <w:r>
              <w:rPr>
                <w:rFonts w:hint="eastAsia" w:ascii="宋体" w:hAnsi="宋体" w:eastAsia="宋体"/>
                <w:sz w:val="21"/>
                <w:szCs w:val="21"/>
              </w:rPr>
              <w:t>（权重：0.5）</w:t>
            </w:r>
          </w:p>
        </w:tc>
        <w:tc>
          <w:tcPr>
            <w:tcW w:w="4926" w:type="dxa"/>
            <w:vAlign w:val="center"/>
          </w:tcPr>
          <w:p w14:paraId="27AD0003">
            <w:pPr>
              <w:spacing w:after="0" w:line="276" w:lineRule="auto"/>
              <w:jc w:val="both"/>
              <w:rPr>
                <w:rFonts w:ascii="宋体" w:hAnsi="宋体" w:eastAsia="宋体"/>
                <w:sz w:val="21"/>
                <w:szCs w:val="21"/>
              </w:rPr>
            </w:pPr>
            <w:r>
              <w:rPr>
                <w:rFonts w:hint="eastAsia" w:ascii="宋体" w:hAnsi="宋体" w:eastAsia="宋体"/>
                <w:sz w:val="21"/>
                <w:szCs w:val="21"/>
              </w:rPr>
              <w:t>专业核心课程考核成绩优异，无补考无重修记录。</w:t>
            </w:r>
          </w:p>
        </w:tc>
      </w:tr>
      <w:tr w14:paraId="1012B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9" w:hRule="atLeast"/>
        </w:trPr>
        <w:tc>
          <w:tcPr>
            <w:tcW w:w="1668" w:type="dxa"/>
            <w:vMerge w:val="continue"/>
            <w:vAlign w:val="center"/>
          </w:tcPr>
          <w:p w14:paraId="5B9770CF">
            <w:pPr>
              <w:spacing w:after="0" w:line="276" w:lineRule="auto"/>
              <w:jc w:val="center"/>
              <w:rPr>
                <w:rFonts w:ascii="宋体" w:hAnsi="宋体" w:eastAsia="宋体"/>
                <w:sz w:val="21"/>
                <w:szCs w:val="21"/>
              </w:rPr>
            </w:pPr>
          </w:p>
        </w:tc>
        <w:tc>
          <w:tcPr>
            <w:tcW w:w="2126" w:type="dxa"/>
            <w:vAlign w:val="center"/>
          </w:tcPr>
          <w:p w14:paraId="3B61DD7B">
            <w:pPr>
              <w:spacing w:after="0" w:line="276" w:lineRule="auto"/>
              <w:jc w:val="both"/>
              <w:rPr>
                <w:rFonts w:ascii="宋体" w:hAnsi="宋体" w:eastAsia="宋体"/>
                <w:sz w:val="21"/>
                <w:szCs w:val="21"/>
              </w:rPr>
            </w:pPr>
            <w:r>
              <w:rPr>
                <w:rFonts w:hint="eastAsia" w:ascii="宋体" w:hAnsi="宋体" w:eastAsia="宋体"/>
                <w:sz w:val="21"/>
                <w:szCs w:val="21"/>
              </w:rPr>
              <w:t>专业理论基础及核心知识</w:t>
            </w:r>
          </w:p>
          <w:p w14:paraId="20E62A2F">
            <w:pPr>
              <w:spacing w:after="0" w:line="276" w:lineRule="auto"/>
              <w:jc w:val="center"/>
              <w:rPr>
                <w:rFonts w:ascii="宋体" w:hAnsi="宋体" w:eastAsia="宋体"/>
                <w:sz w:val="21"/>
                <w:szCs w:val="21"/>
              </w:rPr>
            </w:pPr>
            <w:r>
              <w:rPr>
                <w:rFonts w:hint="eastAsia" w:ascii="宋体" w:hAnsi="宋体" w:eastAsia="宋体"/>
                <w:sz w:val="21"/>
                <w:szCs w:val="21"/>
              </w:rPr>
              <w:t>（权重：0.5）</w:t>
            </w:r>
          </w:p>
        </w:tc>
        <w:tc>
          <w:tcPr>
            <w:tcW w:w="4926" w:type="dxa"/>
            <w:vAlign w:val="center"/>
          </w:tcPr>
          <w:p w14:paraId="28E7D1F4">
            <w:pPr>
              <w:spacing w:after="0" w:line="276" w:lineRule="auto"/>
              <w:jc w:val="both"/>
              <w:rPr>
                <w:rFonts w:ascii="宋体" w:hAnsi="宋体" w:eastAsia="宋体"/>
                <w:sz w:val="21"/>
                <w:szCs w:val="21"/>
              </w:rPr>
            </w:pPr>
            <w:r>
              <w:rPr>
                <w:rFonts w:hint="eastAsia" w:ascii="宋体" w:hAnsi="宋体" w:eastAsia="宋体"/>
                <w:sz w:val="21"/>
                <w:szCs w:val="21"/>
              </w:rPr>
              <w:t>面试体现本学科及相关领域坚实宽广的理论基础与系统深入的专业知识；对本学科的动态深入了解；具有敏锐的专业思维。</w:t>
            </w:r>
          </w:p>
        </w:tc>
      </w:tr>
      <w:tr w14:paraId="41BCF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Merge w:val="restart"/>
            <w:vAlign w:val="center"/>
          </w:tcPr>
          <w:p w14:paraId="38A82AFC">
            <w:pPr>
              <w:spacing w:after="0" w:line="276" w:lineRule="auto"/>
              <w:jc w:val="center"/>
              <w:rPr>
                <w:rFonts w:ascii="宋体" w:hAnsi="宋体" w:eastAsia="宋体"/>
                <w:sz w:val="21"/>
                <w:szCs w:val="21"/>
              </w:rPr>
            </w:pPr>
            <w:r>
              <w:rPr>
                <w:rFonts w:hint="eastAsia" w:ascii="宋体" w:hAnsi="宋体" w:eastAsia="宋体"/>
                <w:sz w:val="21"/>
                <w:szCs w:val="21"/>
              </w:rPr>
              <w:t>科研潜力</w:t>
            </w:r>
          </w:p>
          <w:p w14:paraId="45C16625">
            <w:pPr>
              <w:spacing w:after="0" w:line="276" w:lineRule="auto"/>
              <w:jc w:val="center"/>
              <w:rPr>
                <w:rFonts w:ascii="宋体" w:hAnsi="宋体" w:eastAsia="宋体"/>
                <w:sz w:val="21"/>
                <w:szCs w:val="21"/>
              </w:rPr>
            </w:pPr>
            <w:r>
              <w:rPr>
                <w:rFonts w:hint="eastAsia" w:ascii="宋体" w:hAnsi="宋体" w:eastAsia="宋体"/>
                <w:sz w:val="21"/>
                <w:szCs w:val="21"/>
              </w:rPr>
              <w:t>（权重：0.2）</w:t>
            </w:r>
          </w:p>
        </w:tc>
        <w:tc>
          <w:tcPr>
            <w:tcW w:w="2126" w:type="dxa"/>
            <w:vAlign w:val="center"/>
          </w:tcPr>
          <w:p w14:paraId="6963B3CD">
            <w:pPr>
              <w:spacing w:after="0" w:line="276" w:lineRule="auto"/>
              <w:jc w:val="both"/>
              <w:rPr>
                <w:rFonts w:ascii="宋体" w:hAnsi="宋体" w:eastAsia="宋体"/>
                <w:sz w:val="21"/>
                <w:szCs w:val="21"/>
              </w:rPr>
            </w:pPr>
            <w:r>
              <w:rPr>
                <w:rFonts w:hint="eastAsia" w:ascii="宋体" w:hAnsi="宋体" w:eastAsia="宋体"/>
                <w:sz w:val="21"/>
                <w:szCs w:val="21"/>
              </w:rPr>
              <w:t>研究方法及创新潜力</w:t>
            </w:r>
          </w:p>
          <w:p w14:paraId="07BDEF98">
            <w:pPr>
              <w:spacing w:after="0" w:line="276" w:lineRule="auto"/>
              <w:jc w:val="center"/>
              <w:rPr>
                <w:rFonts w:ascii="宋体" w:hAnsi="宋体" w:eastAsia="宋体"/>
                <w:sz w:val="21"/>
                <w:szCs w:val="21"/>
              </w:rPr>
            </w:pPr>
            <w:r>
              <w:rPr>
                <w:rFonts w:hint="eastAsia" w:ascii="宋体" w:hAnsi="宋体" w:eastAsia="宋体"/>
                <w:sz w:val="21"/>
                <w:szCs w:val="21"/>
              </w:rPr>
              <w:t>（权重：0.5）</w:t>
            </w:r>
          </w:p>
        </w:tc>
        <w:tc>
          <w:tcPr>
            <w:tcW w:w="4926" w:type="dxa"/>
            <w:vAlign w:val="center"/>
          </w:tcPr>
          <w:p w14:paraId="42D39F96">
            <w:pPr>
              <w:spacing w:after="0" w:line="276" w:lineRule="auto"/>
              <w:jc w:val="both"/>
              <w:rPr>
                <w:rFonts w:ascii="宋体" w:hAnsi="宋体" w:eastAsia="宋体"/>
                <w:sz w:val="21"/>
                <w:szCs w:val="21"/>
              </w:rPr>
            </w:pPr>
            <w:r>
              <w:rPr>
                <w:rFonts w:hint="eastAsia" w:ascii="宋体" w:hAnsi="宋体" w:eastAsia="宋体"/>
                <w:sz w:val="21"/>
                <w:szCs w:val="21"/>
              </w:rPr>
              <w:t>掌握本学科领域相关研究方法；能运用新视角、新方法进行探索、研究，并有独到见解。</w:t>
            </w:r>
          </w:p>
        </w:tc>
      </w:tr>
      <w:tr w14:paraId="1CE13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1668" w:type="dxa"/>
            <w:vMerge w:val="continue"/>
            <w:vAlign w:val="center"/>
          </w:tcPr>
          <w:p w14:paraId="594FE9D8">
            <w:pPr>
              <w:spacing w:after="0" w:line="276" w:lineRule="auto"/>
              <w:jc w:val="center"/>
              <w:rPr>
                <w:rFonts w:ascii="宋体" w:hAnsi="宋体" w:eastAsia="宋体"/>
                <w:sz w:val="21"/>
                <w:szCs w:val="21"/>
              </w:rPr>
            </w:pPr>
          </w:p>
        </w:tc>
        <w:tc>
          <w:tcPr>
            <w:tcW w:w="2126" w:type="dxa"/>
            <w:vAlign w:val="center"/>
          </w:tcPr>
          <w:p w14:paraId="07A0E66A">
            <w:pPr>
              <w:spacing w:after="0" w:line="276" w:lineRule="auto"/>
              <w:jc w:val="center"/>
              <w:rPr>
                <w:rFonts w:ascii="宋体" w:hAnsi="宋体" w:eastAsia="宋体"/>
                <w:sz w:val="21"/>
                <w:szCs w:val="21"/>
              </w:rPr>
            </w:pPr>
            <w:r>
              <w:rPr>
                <w:rFonts w:hint="eastAsia" w:ascii="宋体" w:hAnsi="宋体" w:eastAsia="宋体"/>
                <w:sz w:val="21"/>
                <w:szCs w:val="21"/>
              </w:rPr>
              <w:t>研究基础</w:t>
            </w:r>
          </w:p>
          <w:p w14:paraId="718DDC74">
            <w:pPr>
              <w:spacing w:after="0" w:line="276" w:lineRule="auto"/>
              <w:jc w:val="center"/>
              <w:rPr>
                <w:rFonts w:ascii="宋体" w:hAnsi="宋体" w:eastAsia="宋体"/>
                <w:sz w:val="21"/>
                <w:szCs w:val="21"/>
              </w:rPr>
            </w:pPr>
            <w:r>
              <w:rPr>
                <w:rFonts w:hint="eastAsia" w:ascii="宋体" w:hAnsi="宋体" w:eastAsia="宋体"/>
                <w:sz w:val="21"/>
                <w:szCs w:val="21"/>
              </w:rPr>
              <w:t>（权重：0.5）</w:t>
            </w:r>
          </w:p>
        </w:tc>
        <w:tc>
          <w:tcPr>
            <w:tcW w:w="4926" w:type="dxa"/>
            <w:vAlign w:val="center"/>
          </w:tcPr>
          <w:p w14:paraId="4AFC7E0E">
            <w:pPr>
              <w:spacing w:after="0" w:line="276" w:lineRule="auto"/>
              <w:jc w:val="both"/>
              <w:rPr>
                <w:rFonts w:ascii="宋体" w:hAnsi="宋体" w:eastAsia="宋体"/>
                <w:sz w:val="21"/>
                <w:szCs w:val="21"/>
              </w:rPr>
            </w:pPr>
            <w:r>
              <w:rPr>
                <w:rFonts w:hint="eastAsia" w:ascii="宋体" w:hAnsi="宋体" w:eastAsia="宋体"/>
                <w:sz w:val="21"/>
                <w:szCs w:val="21"/>
              </w:rPr>
              <w:t>掌握本学科及相关领域的文献以及研究前沿。</w:t>
            </w:r>
          </w:p>
        </w:tc>
      </w:tr>
      <w:tr w14:paraId="761EF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Merge w:val="restart"/>
            <w:vAlign w:val="center"/>
          </w:tcPr>
          <w:p w14:paraId="707A0632">
            <w:pPr>
              <w:spacing w:after="0" w:line="276" w:lineRule="auto"/>
              <w:jc w:val="center"/>
              <w:rPr>
                <w:rFonts w:ascii="宋体" w:hAnsi="宋体" w:eastAsia="宋体"/>
                <w:sz w:val="21"/>
                <w:szCs w:val="21"/>
              </w:rPr>
            </w:pPr>
            <w:r>
              <w:rPr>
                <w:rFonts w:hint="eastAsia" w:ascii="宋体" w:hAnsi="宋体" w:eastAsia="宋体"/>
                <w:sz w:val="21"/>
                <w:szCs w:val="21"/>
              </w:rPr>
              <w:t>面试体现的学习发展潜力</w:t>
            </w:r>
          </w:p>
          <w:p w14:paraId="0AE371D0">
            <w:pPr>
              <w:spacing w:after="0" w:line="276" w:lineRule="auto"/>
              <w:jc w:val="center"/>
              <w:rPr>
                <w:rFonts w:ascii="宋体" w:hAnsi="宋体" w:eastAsia="宋体"/>
                <w:sz w:val="21"/>
                <w:szCs w:val="21"/>
              </w:rPr>
            </w:pPr>
            <w:r>
              <w:rPr>
                <w:rFonts w:hint="eastAsia" w:ascii="宋体" w:hAnsi="宋体" w:eastAsia="宋体"/>
                <w:sz w:val="21"/>
                <w:szCs w:val="21"/>
              </w:rPr>
              <w:t>（权重：0.2）</w:t>
            </w:r>
          </w:p>
        </w:tc>
        <w:tc>
          <w:tcPr>
            <w:tcW w:w="2126" w:type="dxa"/>
            <w:vAlign w:val="center"/>
          </w:tcPr>
          <w:p w14:paraId="59F90E1A">
            <w:pPr>
              <w:spacing w:after="0" w:line="276" w:lineRule="auto"/>
              <w:jc w:val="both"/>
              <w:rPr>
                <w:rFonts w:ascii="宋体" w:hAnsi="宋体" w:eastAsia="宋体"/>
                <w:sz w:val="21"/>
                <w:szCs w:val="21"/>
              </w:rPr>
            </w:pPr>
            <w:r>
              <w:rPr>
                <w:rFonts w:hint="eastAsia" w:ascii="宋体" w:hAnsi="宋体" w:eastAsia="宋体"/>
                <w:sz w:val="21"/>
                <w:szCs w:val="21"/>
              </w:rPr>
              <w:t>面试体现作者自主学习能力和独立从事科学研究的能力</w:t>
            </w:r>
          </w:p>
          <w:p w14:paraId="032D61AB">
            <w:pPr>
              <w:spacing w:after="0" w:line="276" w:lineRule="auto"/>
              <w:jc w:val="center"/>
              <w:rPr>
                <w:rFonts w:ascii="宋体" w:hAnsi="宋体" w:eastAsia="宋体"/>
                <w:sz w:val="21"/>
                <w:szCs w:val="21"/>
              </w:rPr>
            </w:pPr>
            <w:r>
              <w:rPr>
                <w:rFonts w:hint="eastAsia" w:ascii="宋体" w:hAnsi="宋体" w:eastAsia="宋体"/>
                <w:sz w:val="21"/>
                <w:szCs w:val="21"/>
              </w:rPr>
              <w:t>（权重：0.5）</w:t>
            </w:r>
          </w:p>
        </w:tc>
        <w:tc>
          <w:tcPr>
            <w:tcW w:w="4926" w:type="dxa"/>
            <w:vAlign w:val="center"/>
          </w:tcPr>
          <w:p w14:paraId="6C95CE85">
            <w:pPr>
              <w:spacing w:after="0" w:line="276" w:lineRule="auto"/>
              <w:jc w:val="both"/>
              <w:rPr>
                <w:rFonts w:ascii="宋体" w:hAnsi="宋体" w:eastAsia="宋体"/>
                <w:sz w:val="21"/>
                <w:szCs w:val="21"/>
              </w:rPr>
            </w:pPr>
            <w:r>
              <w:rPr>
                <w:rFonts w:hint="eastAsia" w:ascii="宋体" w:hAnsi="宋体" w:eastAsia="宋体"/>
                <w:sz w:val="21"/>
                <w:szCs w:val="21"/>
              </w:rPr>
              <w:t>专业基础知识扎实，研究兴趣浓厚，思维敏捷，体现出作者具有很强的自主学习能力和独立从事科学研究的能力。</w:t>
            </w:r>
          </w:p>
        </w:tc>
      </w:tr>
      <w:tr w14:paraId="4F75A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trPr>
        <w:tc>
          <w:tcPr>
            <w:tcW w:w="1668" w:type="dxa"/>
            <w:vMerge w:val="continue"/>
            <w:vAlign w:val="center"/>
          </w:tcPr>
          <w:p w14:paraId="54203DF3">
            <w:pPr>
              <w:spacing w:after="0" w:line="276" w:lineRule="auto"/>
              <w:jc w:val="center"/>
              <w:rPr>
                <w:rFonts w:ascii="宋体" w:hAnsi="宋体" w:eastAsia="宋体"/>
                <w:sz w:val="21"/>
                <w:szCs w:val="21"/>
              </w:rPr>
            </w:pPr>
          </w:p>
        </w:tc>
        <w:tc>
          <w:tcPr>
            <w:tcW w:w="2126" w:type="dxa"/>
            <w:vAlign w:val="center"/>
          </w:tcPr>
          <w:p w14:paraId="090EFC2D">
            <w:pPr>
              <w:spacing w:after="0" w:line="276" w:lineRule="auto"/>
              <w:jc w:val="center"/>
              <w:rPr>
                <w:rFonts w:ascii="宋体" w:hAnsi="宋体" w:eastAsia="宋体"/>
                <w:sz w:val="21"/>
                <w:szCs w:val="21"/>
              </w:rPr>
            </w:pPr>
            <w:r>
              <w:rPr>
                <w:rFonts w:hint="eastAsia" w:ascii="宋体" w:hAnsi="宋体" w:eastAsia="宋体"/>
                <w:sz w:val="21"/>
                <w:szCs w:val="21"/>
              </w:rPr>
              <w:t>语言表达能力</w:t>
            </w:r>
          </w:p>
          <w:p w14:paraId="51ED20A5">
            <w:pPr>
              <w:spacing w:after="0" w:line="276" w:lineRule="auto"/>
              <w:jc w:val="center"/>
              <w:rPr>
                <w:rFonts w:ascii="宋体" w:hAnsi="宋体" w:eastAsia="宋体"/>
                <w:sz w:val="21"/>
                <w:szCs w:val="21"/>
              </w:rPr>
            </w:pPr>
            <w:r>
              <w:rPr>
                <w:rFonts w:hint="eastAsia" w:ascii="宋体" w:hAnsi="宋体" w:eastAsia="宋体"/>
                <w:sz w:val="21"/>
                <w:szCs w:val="21"/>
              </w:rPr>
              <w:t>（权重：0.5）</w:t>
            </w:r>
          </w:p>
        </w:tc>
        <w:tc>
          <w:tcPr>
            <w:tcW w:w="4926" w:type="dxa"/>
            <w:vAlign w:val="center"/>
          </w:tcPr>
          <w:p w14:paraId="67E8ACDC">
            <w:pPr>
              <w:spacing w:after="0" w:line="276" w:lineRule="auto"/>
              <w:jc w:val="both"/>
              <w:rPr>
                <w:rFonts w:ascii="宋体" w:hAnsi="宋体" w:eastAsia="宋体"/>
                <w:sz w:val="21"/>
                <w:szCs w:val="21"/>
              </w:rPr>
            </w:pPr>
            <w:r>
              <w:rPr>
                <w:rFonts w:hint="eastAsia" w:ascii="宋体" w:hAnsi="宋体" w:eastAsia="宋体"/>
                <w:sz w:val="21"/>
                <w:szCs w:val="21"/>
              </w:rPr>
              <w:t>推理严密，逻辑性强；语言表达准确、流畅。</w:t>
            </w:r>
          </w:p>
        </w:tc>
      </w:tr>
      <w:tr w14:paraId="37DA2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trPr>
        <w:tc>
          <w:tcPr>
            <w:tcW w:w="1668" w:type="dxa"/>
            <w:vMerge w:val="restart"/>
            <w:vAlign w:val="center"/>
          </w:tcPr>
          <w:p w14:paraId="0DC505BE">
            <w:pPr>
              <w:spacing w:after="0" w:line="276" w:lineRule="auto"/>
              <w:jc w:val="center"/>
              <w:rPr>
                <w:rFonts w:ascii="宋体" w:hAnsi="宋体" w:eastAsia="宋体"/>
                <w:sz w:val="21"/>
                <w:szCs w:val="21"/>
              </w:rPr>
            </w:pPr>
            <w:r>
              <w:rPr>
                <w:rFonts w:hint="eastAsia" w:ascii="宋体" w:hAnsi="宋体" w:eastAsia="宋体"/>
                <w:sz w:val="21"/>
                <w:szCs w:val="21"/>
              </w:rPr>
              <w:t>外语能力</w:t>
            </w:r>
          </w:p>
          <w:p w14:paraId="483A1C1C">
            <w:pPr>
              <w:spacing w:after="0" w:line="276" w:lineRule="auto"/>
              <w:jc w:val="center"/>
              <w:rPr>
                <w:rFonts w:ascii="宋体" w:hAnsi="宋体" w:eastAsia="宋体"/>
                <w:sz w:val="21"/>
                <w:szCs w:val="21"/>
              </w:rPr>
            </w:pPr>
            <w:r>
              <w:rPr>
                <w:rFonts w:hint="eastAsia" w:ascii="宋体" w:hAnsi="宋体" w:eastAsia="宋体"/>
                <w:sz w:val="21"/>
                <w:szCs w:val="21"/>
              </w:rPr>
              <w:t>（权重：0.4）</w:t>
            </w:r>
          </w:p>
        </w:tc>
        <w:tc>
          <w:tcPr>
            <w:tcW w:w="2126" w:type="dxa"/>
            <w:vAlign w:val="center"/>
          </w:tcPr>
          <w:p w14:paraId="3D77E205">
            <w:pPr>
              <w:spacing w:after="0" w:line="276" w:lineRule="auto"/>
              <w:jc w:val="center"/>
              <w:rPr>
                <w:rFonts w:ascii="宋体" w:hAnsi="宋体" w:eastAsia="宋体"/>
                <w:sz w:val="21"/>
                <w:szCs w:val="21"/>
              </w:rPr>
            </w:pPr>
            <w:r>
              <w:rPr>
                <w:rFonts w:hint="eastAsia" w:ascii="宋体" w:hAnsi="宋体" w:eastAsia="宋体"/>
                <w:sz w:val="21"/>
                <w:szCs w:val="21"/>
              </w:rPr>
              <w:t>听力</w:t>
            </w:r>
          </w:p>
          <w:p w14:paraId="7B8CC154">
            <w:pPr>
              <w:spacing w:after="0" w:line="276" w:lineRule="auto"/>
              <w:jc w:val="center"/>
              <w:rPr>
                <w:rFonts w:ascii="宋体" w:hAnsi="宋体" w:eastAsia="宋体"/>
                <w:sz w:val="21"/>
                <w:szCs w:val="21"/>
              </w:rPr>
            </w:pPr>
            <w:r>
              <w:rPr>
                <w:rFonts w:hint="eastAsia" w:ascii="宋体" w:hAnsi="宋体" w:eastAsia="宋体"/>
                <w:sz w:val="21"/>
                <w:szCs w:val="21"/>
              </w:rPr>
              <w:t>（权重：0.5）</w:t>
            </w:r>
          </w:p>
        </w:tc>
        <w:tc>
          <w:tcPr>
            <w:tcW w:w="4926" w:type="dxa"/>
            <w:vAlign w:val="center"/>
          </w:tcPr>
          <w:p w14:paraId="64435AFE">
            <w:pPr>
              <w:spacing w:after="0" w:line="276" w:lineRule="auto"/>
              <w:jc w:val="both"/>
              <w:rPr>
                <w:rFonts w:ascii="宋体" w:hAnsi="宋体" w:eastAsia="宋体"/>
                <w:sz w:val="21"/>
                <w:szCs w:val="21"/>
              </w:rPr>
            </w:pPr>
            <w:r>
              <w:rPr>
                <w:rFonts w:hint="eastAsia" w:ascii="宋体" w:hAnsi="宋体" w:eastAsia="宋体"/>
                <w:sz w:val="21"/>
                <w:szCs w:val="21"/>
              </w:rPr>
              <w:t>能听懂各种话题及口头表达，掌握要点和细节，理解言外之意，并能对所听内容进行分析、推理与评价。</w:t>
            </w:r>
          </w:p>
        </w:tc>
      </w:tr>
      <w:tr w14:paraId="05FB6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trPr>
        <w:tc>
          <w:tcPr>
            <w:tcW w:w="1668" w:type="dxa"/>
            <w:vMerge w:val="continue"/>
            <w:vAlign w:val="center"/>
          </w:tcPr>
          <w:p w14:paraId="7E075290">
            <w:pPr>
              <w:spacing w:after="0" w:line="276" w:lineRule="auto"/>
              <w:jc w:val="center"/>
              <w:rPr>
                <w:rFonts w:ascii="宋体" w:hAnsi="宋体" w:eastAsia="宋体"/>
                <w:sz w:val="21"/>
                <w:szCs w:val="21"/>
              </w:rPr>
            </w:pPr>
          </w:p>
        </w:tc>
        <w:tc>
          <w:tcPr>
            <w:tcW w:w="2126" w:type="dxa"/>
            <w:vAlign w:val="center"/>
          </w:tcPr>
          <w:p w14:paraId="4C152944">
            <w:pPr>
              <w:spacing w:after="0" w:line="276" w:lineRule="auto"/>
              <w:jc w:val="center"/>
              <w:rPr>
                <w:rFonts w:ascii="宋体" w:hAnsi="宋体" w:eastAsia="宋体"/>
                <w:sz w:val="21"/>
                <w:szCs w:val="21"/>
              </w:rPr>
            </w:pPr>
            <w:r>
              <w:rPr>
                <w:rFonts w:hint="eastAsia" w:ascii="宋体" w:hAnsi="宋体" w:eastAsia="宋体"/>
                <w:sz w:val="21"/>
                <w:szCs w:val="21"/>
              </w:rPr>
              <w:t>口语</w:t>
            </w:r>
          </w:p>
          <w:p w14:paraId="350E5DBF">
            <w:pPr>
              <w:spacing w:after="0" w:line="276" w:lineRule="auto"/>
              <w:jc w:val="center"/>
              <w:rPr>
                <w:rFonts w:ascii="宋体" w:hAnsi="宋体" w:eastAsia="宋体"/>
                <w:sz w:val="21"/>
                <w:szCs w:val="21"/>
              </w:rPr>
            </w:pPr>
            <w:r>
              <w:rPr>
                <w:rFonts w:hint="eastAsia" w:ascii="宋体" w:hAnsi="宋体" w:eastAsia="宋体"/>
                <w:sz w:val="21"/>
                <w:szCs w:val="21"/>
              </w:rPr>
              <w:t>（权重：0.5）</w:t>
            </w:r>
          </w:p>
        </w:tc>
        <w:tc>
          <w:tcPr>
            <w:tcW w:w="4926" w:type="dxa"/>
            <w:vAlign w:val="center"/>
          </w:tcPr>
          <w:p w14:paraId="37339B36">
            <w:pPr>
              <w:spacing w:after="0" w:line="276" w:lineRule="auto"/>
              <w:jc w:val="both"/>
              <w:rPr>
                <w:rFonts w:ascii="宋体" w:hAnsi="宋体" w:eastAsia="宋体"/>
                <w:sz w:val="21"/>
                <w:szCs w:val="21"/>
              </w:rPr>
            </w:pPr>
            <w:r>
              <w:rPr>
                <w:rFonts w:hint="eastAsia" w:ascii="宋体" w:hAnsi="宋体" w:eastAsia="宋体"/>
                <w:sz w:val="21"/>
                <w:szCs w:val="21"/>
              </w:rPr>
              <w:t>能自如地运用各种表达方式就各种话题进行深入沟通和交流，表达准确、自然、纯正，并体现一定的语言风格。</w:t>
            </w:r>
          </w:p>
        </w:tc>
      </w:tr>
    </w:tbl>
    <w:p w14:paraId="21063EBB">
      <w:pPr>
        <w:spacing w:before="180" w:beforeLines="50" w:after="0" w:line="360" w:lineRule="auto"/>
        <w:ind w:firstLine="560" w:firstLineChars="200"/>
        <w:jc w:val="both"/>
        <w:rPr>
          <w:rFonts w:ascii="宋体" w:hAnsi="宋体" w:eastAsia="宋体"/>
          <w:sz w:val="28"/>
          <w:szCs w:val="28"/>
        </w:rPr>
      </w:pPr>
      <w:r>
        <w:rPr>
          <w:rFonts w:hint="eastAsia" w:ascii="宋体" w:hAnsi="宋体" w:eastAsia="宋体"/>
          <w:sz w:val="28"/>
          <w:szCs w:val="28"/>
        </w:rPr>
        <w:t>3、思想政治素质和品德考核：由研究院分党委负责考核，主要考核学生的政治态度、思想表现、学习（工作）态度、道德品质、遵纪守法、诚实守信、学术道德等。考核不计成绩，只评价合格与否。</w:t>
      </w:r>
    </w:p>
    <w:p w14:paraId="218BECC5">
      <w:pPr>
        <w:spacing w:after="0" w:line="360" w:lineRule="auto"/>
        <w:ind w:firstLine="560" w:firstLineChars="200"/>
        <w:jc w:val="both"/>
        <w:rPr>
          <w:rFonts w:ascii="宋体" w:hAnsi="宋体" w:eastAsia="宋体"/>
          <w:sz w:val="28"/>
          <w:szCs w:val="28"/>
        </w:rPr>
      </w:pPr>
      <w:r>
        <w:rPr>
          <w:rFonts w:hint="eastAsia" w:ascii="宋体" w:hAnsi="宋体" w:eastAsia="宋体"/>
          <w:sz w:val="28"/>
          <w:szCs w:val="28"/>
        </w:rPr>
        <w:t>（四）具体安排</w:t>
      </w:r>
    </w:p>
    <w:p w14:paraId="645A2D6D">
      <w:pPr>
        <w:spacing w:after="0" w:line="360" w:lineRule="auto"/>
        <w:ind w:firstLine="560" w:firstLineChars="200"/>
        <w:jc w:val="both"/>
        <w:rPr>
          <w:rFonts w:ascii="宋体" w:hAnsi="宋体" w:eastAsia="宋体"/>
          <w:sz w:val="28"/>
          <w:szCs w:val="28"/>
        </w:rPr>
      </w:pPr>
      <w:r>
        <w:rPr>
          <w:rFonts w:hint="eastAsia" w:ascii="宋体" w:hAnsi="宋体" w:eastAsia="宋体"/>
          <w:sz w:val="28"/>
          <w:szCs w:val="28"/>
        </w:rPr>
        <w:t>考核时间：20</w:t>
      </w:r>
      <w:r>
        <w:rPr>
          <w:rFonts w:ascii="宋体" w:hAnsi="宋体" w:eastAsia="宋体"/>
          <w:sz w:val="28"/>
          <w:szCs w:val="28"/>
        </w:rPr>
        <w:t>2</w:t>
      </w:r>
      <w:r>
        <w:rPr>
          <w:rFonts w:hint="eastAsia" w:ascii="宋体" w:hAnsi="宋体" w:eastAsia="宋体"/>
          <w:sz w:val="28"/>
          <w:szCs w:val="28"/>
        </w:rPr>
        <w:t>6年</w:t>
      </w:r>
      <w:r>
        <w:rPr>
          <w:rFonts w:ascii="宋体" w:hAnsi="宋体" w:eastAsia="宋体"/>
          <w:sz w:val="28"/>
          <w:szCs w:val="28"/>
        </w:rPr>
        <w:t>10</w:t>
      </w:r>
      <w:r>
        <w:rPr>
          <w:rFonts w:hint="eastAsia" w:ascii="宋体" w:hAnsi="宋体" w:eastAsia="宋体"/>
          <w:sz w:val="28"/>
          <w:szCs w:val="28"/>
        </w:rPr>
        <w:t>月16日前提交研究计划报告</w:t>
      </w:r>
    </w:p>
    <w:p w14:paraId="6E50D7E0">
      <w:pPr>
        <w:spacing w:after="0" w:line="360" w:lineRule="auto"/>
        <w:ind w:firstLine="562" w:firstLineChars="200"/>
        <w:jc w:val="both"/>
        <w:rPr>
          <w:rFonts w:ascii="宋体" w:hAnsi="宋体" w:eastAsia="宋体"/>
          <w:sz w:val="28"/>
          <w:szCs w:val="28"/>
        </w:rPr>
      </w:pPr>
      <w:r>
        <w:rPr>
          <w:rFonts w:hint="eastAsia" w:ascii="宋体" w:hAnsi="宋体" w:eastAsia="宋体"/>
          <w:b/>
          <w:bCs/>
          <w:color w:val="000000" w:themeColor="text1"/>
          <w:sz w:val="28"/>
          <w:szCs w:val="28"/>
          <w14:textFill>
            <w14:solidFill>
              <w14:schemeClr w14:val="tx1"/>
            </w14:solidFill>
          </w14:textFill>
        </w:rPr>
        <w:t xml:space="preserve">      </w:t>
      </w:r>
      <w:r>
        <w:rPr>
          <w:rFonts w:hint="eastAsia" w:ascii="宋体" w:hAnsi="宋体" w:eastAsia="宋体"/>
          <w:sz w:val="28"/>
          <w:szCs w:val="28"/>
        </w:rPr>
        <w:t xml:space="preserve">    2026年10月18日面试</w:t>
      </w:r>
    </w:p>
    <w:p w14:paraId="5712FA56">
      <w:pPr>
        <w:spacing w:after="0" w:line="360" w:lineRule="auto"/>
        <w:ind w:firstLine="560" w:firstLineChars="200"/>
        <w:jc w:val="both"/>
        <w:rPr>
          <w:rFonts w:ascii="宋体" w:hAnsi="宋体" w:eastAsia="宋体"/>
          <w:sz w:val="28"/>
          <w:szCs w:val="28"/>
        </w:rPr>
      </w:pPr>
      <w:r>
        <w:rPr>
          <w:rFonts w:hint="eastAsia" w:ascii="宋体" w:hAnsi="宋体" w:eastAsia="宋体"/>
          <w:sz w:val="28"/>
          <w:szCs w:val="28"/>
        </w:rPr>
        <w:t>考核地点：柳林校区颐德楼H座（面试）</w:t>
      </w:r>
    </w:p>
    <w:p w14:paraId="46CC5348">
      <w:pPr>
        <w:spacing w:after="0" w:line="360" w:lineRule="auto"/>
        <w:ind w:firstLine="560" w:firstLineChars="200"/>
        <w:jc w:val="both"/>
        <w:rPr>
          <w:rFonts w:ascii="宋体" w:hAnsi="宋体" w:eastAsia="宋体"/>
          <w:sz w:val="28"/>
          <w:szCs w:val="28"/>
        </w:rPr>
      </w:pPr>
      <w:r>
        <w:rPr>
          <w:rFonts w:hint="eastAsia" w:ascii="宋体" w:hAnsi="宋体" w:eastAsia="宋体"/>
          <w:sz w:val="28"/>
          <w:szCs w:val="28"/>
        </w:rPr>
        <w:t>（五）综合成绩计算方式</w:t>
      </w:r>
    </w:p>
    <w:p w14:paraId="3BF5F6FB">
      <w:pPr>
        <w:spacing w:after="0" w:line="360" w:lineRule="auto"/>
        <w:ind w:firstLine="560" w:firstLineChars="200"/>
        <w:jc w:val="both"/>
        <w:rPr>
          <w:rFonts w:ascii="宋体" w:hAnsi="宋体" w:eastAsia="宋体"/>
          <w:sz w:val="28"/>
          <w:szCs w:val="28"/>
        </w:rPr>
      </w:pPr>
      <w:r>
        <w:rPr>
          <w:rFonts w:hint="eastAsia" w:ascii="宋体" w:hAnsi="宋体" w:eastAsia="宋体"/>
          <w:sz w:val="28"/>
          <w:szCs w:val="28"/>
        </w:rPr>
        <w:t>综合成绩=</w:t>
      </w:r>
      <w:r>
        <w:rPr>
          <w:rFonts w:ascii="宋体" w:hAnsi="宋体" w:eastAsia="宋体"/>
          <w:sz w:val="28"/>
          <w:szCs w:val="28"/>
        </w:rPr>
        <w:t xml:space="preserve"> </w:t>
      </w:r>
      <w:r>
        <w:rPr>
          <w:rFonts w:hint="eastAsia" w:ascii="宋体" w:hAnsi="宋体" w:eastAsia="宋体"/>
          <w:sz w:val="28"/>
          <w:szCs w:val="28"/>
        </w:rPr>
        <w:t>笔试成绩*50%+面试成绩*50%</w:t>
      </w:r>
    </w:p>
    <w:p w14:paraId="07A9A574">
      <w:pPr>
        <w:spacing w:after="0" w:line="360" w:lineRule="auto"/>
        <w:ind w:firstLine="562" w:firstLineChars="200"/>
        <w:jc w:val="both"/>
        <w:rPr>
          <w:rFonts w:ascii="宋体" w:hAnsi="宋体" w:eastAsia="宋体"/>
          <w:b/>
          <w:sz w:val="28"/>
          <w:szCs w:val="28"/>
        </w:rPr>
      </w:pPr>
      <w:r>
        <w:rPr>
          <w:rFonts w:hint="eastAsia" w:ascii="宋体" w:hAnsi="宋体" w:eastAsia="宋体"/>
          <w:b/>
          <w:sz w:val="28"/>
          <w:szCs w:val="28"/>
        </w:rPr>
        <w:t>三、考核结果</w:t>
      </w:r>
    </w:p>
    <w:p w14:paraId="225805C3">
      <w:pPr>
        <w:spacing w:after="0" w:line="360" w:lineRule="auto"/>
        <w:ind w:firstLine="560" w:firstLineChars="200"/>
        <w:jc w:val="both"/>
        <w:rPr>
          <w:rFonts w:ascii="宋体" w:hAnsi="宋体" w:eastAsia="宋体"/>
          <w:sz w:val="28"/>
          <w:szCs w:val="28"/>
          <w:highlight w:val="none"/>
        </w:rPr>
      </w:pPr>
      <w:r>
        <w:rPr>
          <w:rFonts w:hint="eastAsia" w:ascii="宋体" w:hAnsi="宋体" w:eastAsia="宋体"/>
          <w:sz w:val="28"/>
          <w:szCs w:val="28"/>
          <w:highlight w:val="none"/>
        </w:rPr>
        <w:t>（一）考核结果：</w:t>
      </w:r>
    </w:p>
    <w:p w14:paraId="2C4371DC">
      <w:pPr>
        <w:spacing w:after="0" w:line="360" w:lineRule="auto"/>
        <w:ind w:firstLine="560" w:firstLineChars="200"/>
        <w:jc w:val="both"/>
        <w:rPr>
          <w:rFonts w:ascii="宋体" w:hAnsi="宋体" w:eastAsia="宋体"/>
          <w:sz w:val="28"/>
          <w:szCs w:val="28"/>
          <w:highlight w:val="none"/>
        </w:rPr>
      </w:pPr>
      <w:r>
        <w:rPr>
          <w:rFonts w:hint="eastAsia" w:ascii="宋体" w:hAnsi="宋体" w:eastAsia="宋体"/>
          <w:sz w:val="28"/>
          <w:szCs w:val="28"/>
          <w:highlight w:val="none"/>
        </w:rPr>
        <w:t>1、考核通过：思想政治素质与品德考核合格且综合成绩不低于6</w:t>
      </w:r>
      <w:r>
        <w:rPr>
          <w:rFonts w:ascii="宋体" w:hAnsi="宋体" w:eastAsia="宋体"/>
          <w:sz w:val="28"/>
          <w:szCs w:val="28"/>
          <w:highlight w:val="none"/>
        </w:rPr>
        <w:t>0</w:t>
      </w:r>
      <w:r>
        <w:rPr>
          <w:rFonts w:hint="eastAsia" w:ascii="宋体" w:hAnsi="宋体" w:eastAsia="宋体"/>
          <w:sz w:val="28"/>
          <w:szCs w:val="28"/>
          <w:highlight w:val="none"/>
        </w:rPr>
        <w:t>分；</w:t>
      </w:r>
    </w:p>
    <w:p w14:paraId="47F44A29">
      <w:pPr>
        <w:spacing w:after="0" w:line="360" w:lineRule="auto"/>
        <w:ind w:firstLine="560" w:firstLineChars="200"/>
        <w:jc w:val="both"/>
        <w:rPr>
          <w:rFonts w:ascii="宋体" w:hAnsi="宋体" w:eastAsia="宋体"/>
          <w:sz w:val="28"/>
          <w:szCs w:val="28"/>
          <w:highlight w:val="none"/>
        </w:rPr>
      </w:pPr>
      <w:r>
        <w:rPr>
          <w:rFonts w:hint="eastAsia" w:ascii="宋体" w:hAnsi="宋体" w:eastAsia="宋体"/>
          <w:sz w:val="28"/>
          <w:szCs w:val="28"/>
          <w:highlight w:val="none"/>
        </w:rPr>
        <w:t>2、考核不通过：思想政治素质与品德考核不合格或综合成绩低于6</w:t>
      </w:r>
      <w:r>
        <w:rPr>
          <w:rFonts w:ascii="宋体" w:hAnsi="宋体" w:eastAsia="宋体"/>
          <w:sz w:val="28"/>
          <w:szCs w:val="28"/>
          <w:highlight w:val="none"/>
        </w:rPr>
        <w:t>0</w:t>
      </w:r>
      <w:r>
        <w:rPr>
          <w:rFonts w:hint="eastAsia" w:ascii="宋体" w:hAnsi="宋体" w:eastAsia="宋体"/>
          <w:sz w:val="28"/>
          <w:szCs w:val="28"/>
          <w:highlight w:val="none"/>
        </w:rPr>
        <w:t>分。</w:t>
      </w:r>
    </w:p>
    <w:p w14:paraId="325016DD">
      <w:pPr>
        <w:spacing w:after="0" w:line="360" w:lineRule="auto"/>
        <w:ind w:firstLine="560" w:firstLineChars="200"/>
        <w:jc w:val="both"/>
        <w:rPr>
          <w:rFonts w:ascii="宋体" w:hAnsi="宋体" w:eastAsia="宋体"/>
          <w:sz w:val="28"/>
          <w:szCs w:val="28"/>
        </w:rPr>
      </w:pPr>
      <w:r>
        <w:rPr>
          <w:rFonts w:hint="eastAsia" w:ascii="宋体" w:hAnsi="宋体" w:eastAsia="宋体"/>
          <w:sz w:val="28"/>
          <w:szCs w:val="28"/>
        </w:rPr>
        <w:t>（二）通过考核的人员名单须经研究院招生工作领导小组审核后上报学校，由研究生院审核并公布。</w:t>
      </w:r>
    </w:p>
    <w:p w14:paraId="1DE6F142">
      <w:pPr>
        <w:spacing w:after="0" w:line="360" w:lineRule="auto"/>
        <w:ind w:firstLine="562" w:firstLineChars="200"/>
        <w:jc w:val="both"/>
        <w:rPr>
          <w:rFonts w:hint="eastAsia" w:ascii="宋体" w:hAnsi="宋体" w:eastAsia="宋体"/>
          <w:b/>
          <w:sz w:val="28"/>
          <w:szCs w:val="28"/>
        </w:rPr>
      </w:pPr>
      <w:r>
        <w:rPr>
          <w:rFonts w:hint="eastAsia" w:ascii="宋体" w:hAnsi="宋体" w:eastAsia="宋体"/>
          <w:b/>
          <w:sz w:val="28"/>
          <w:szCs w:val="28"/>
        </w:rPr>
        <w:t>四、其他</w:t>
      </w:r>
    </w:p>
    <w:p w14:paraId="4FC88F43">
      <w:pPr>
        <w:spacing w:after="0" w:line="360" w:lineRule="auto"/>
        <w:ind w:firstLine="560" w:firstLineChars="200"/>
        <w:jc w:val="both"/>
        <w:rPr>
          <w:rFonts w:ascii="宋体" w:hAnsi="宋体" w:eastAsia="宋体"/>
          <w:sz w:val="28"/>
          <w:szCs w:val="28"/>
        </w:rPr>
      </w:pPr>
      <w:r>
        <w:rPr>
          <w:rFonts w:hint="eastAsia" w:ascii="宋体" w:hAnsi="宋体" w:eastAsia="宋体"/>
          <w:sz w:val="28"/>
          <w:szCs w:val="28"/>
        </w:rPr>
        <w:t>（一）资格考核通过且取得博士生学籍者，转为博士生培养；未通过者，转为原录取专业硕士生培养。</w:t>
      </w:r>
    </w:p>
    <w:p w14:paraId="74EACC93">
      <w:pPr>
        <w:spacing w:after="0" w:line="360" w:lineRule="auto"/>
        <w:ind w:firstLine="560" w:firstLineChars="200"/>
        <w:jc w:val="both"/>
        <w:rPr>
          <w:rFonts w:ascii="宋体" w:hAnsi="宋体" w:eastAsia="宋体"/>
          <w:sz w:val="28"/>
          <w:szCs w:val="28"/>
        </w:rPr>
      </w:pPr>
      <w:r>
        <w:rPr>
          <w:rFonts w:hint="eastAsia" w:ascii="宋体" w:hAnsi="宋体" w:eastAsia="宋体"/>
          <w:sz w:val="28"/>
          <w:szCs w:val="28"/>
        </w:rPr>
        <w:t>（二）转为硕士生培养，有关要求如下：</w:t>
      </w:r>
    </w:p>
    <w:p w14:paraId="33EBBC1D">
      <w:pPr>
        <w:spacing w:after="0" w:line="360" w:lineRule="auto"/>
        <w:ind w:firstLine="560" w:firstLineChars="200"/>
        <w:jc w:val="both"/>
        <w:rPr>
          <w:rFonts w:ascii="宋体" w:hAnsi="宋体" w:eastAsia="宋体"/>
          <w:sz w:val="28"/>
          <w:szCs w:val="28"/>
        </w:rPr>
      </w:pPr>
      <w:r>
        <w:rPr>
          <w:rFonts w:hint="eastAsia" w:ascii="宋体" w:hAnsi="宋体" w:eastAsia="宋体"/>
          <w:sz w:val="28"/>
          <w:szCs w:val="28"/>
        </w:rPr>
        <w:t>1、“硕博贯通”研究生转为硕士生培养，须按相关规定完成原硕士专业各环节的学分要求；</w:t>
      </w:r>
    </w:p>
    <w:p w14:paraId="665AFECB">
      <w:pPr>
        <w:spacing w:after="0" w:line="360" w:lineRule="auto"/>
        <w:ind w:firstLine="560" w:firstLineChars="200"/>
        <w:jc w:val="both"/>
        <w:rPr>
          <w:rFonts w:ascii="宋体" w:hAnsi="宋体" w:eastAsia="宋体"/>
          <w:sz w:val="28"/>
          <w:szCs w:val="28"/>
        </w:rPr>
      </w:pPr>
      <w:r>
        <w:rPr>
          <w:rFonts w:hint="eastAsia" w:ascii="宋体" w:hAnsi="宋体" w:eastAsia="宋体"/>
          <w:sz w:val="28"/>
          <w:szCs w:val="28"/>
        </w:rPr>
        <w:t>2、申请硕士学位论文送审前，应达到《西南财经大学“硕博贯通”研究生培养管理办法》第十六条规定的毕业科研成果要求。</w:t>
      </w:r>
    </w:p>
    <w:p w14:paraId="03EDFF1B">
      <w:pPr>
        <w:spacing w:after="0" w:line="360" w:lineRule="auto"/>
        <w:ind w:firstLine="560" w:firstLineChars="200"/>
        <w:jc w:val="both"/>
        <w:rPr>
          <w:rFonts w:ascii="宋体" w:hAnsi="宋体" w:eastAsia="宋体"/>
          <w:sz w:val="28"/>
          <w:szCs w:val="28"/>
        </w:rPr>
      </w:pPr>
      <w:r>
        <w:rPr>
          <w:rFonts w:hint="eastAsia" w:ascii="宋体" w:hAnsi="宋体" w:eastAsia="宋体"/>
          <w:sz w:val="28"/>
          <w:szCs w:val="28"/>
        </w:rPr>
        <w:t>3、硕士学位</w:t>
      </w:r>
      <w:bookmarkStart w:id="0" w:name="_GoBack"/>
      <w:bookmarkEnd w:id="0"/>
      <w:r>
        <w:rPr>
          <w:rFonts w:hint="eastAsia" w:ascii="宋体" w:hAnsi="宋体" w:eastAsia="宋体"/>
          <w:sz w:val="28"/>
          <w:szCs w:val="28"/>
        </w:rPr>
        <w:t>论文须通过教育部学位论文送审平台评阅。</w:t>
      </w:r>
    </w:p>
    <w:p w14:paraId="27D14E54">
      <w:pPr>
        <w:spacing w:after="0" w:line="360" w:lineRule="auto"/>
        <w:ind w:firstLine="560" w:firstLineChars="200"/>
        <w:jc w:val="both"/>
        <w:rPr>
          <w:rFonts w:ascii="宋体" w:hAnsi="宋体" w:eastAsia="宋体"/>
          <w:sz w:val="28"/>
          <w:szCs w:val="28"/>
        </w:rPr>
      </w:pPr>
    </w:p>
    <w:p w14:paraId="2C5AAC08">
      <w:pPr>
        <w:spacing w:after="0" w:line="360" w:lineRule="auto"/>
        <w:ind w:firstLine="560" w:firstLineChars="200"/>
        <w:jc w:val="both"/>
        <w:rPr>
          <w:rFonts w:ascii="宋体" w:hAnsi="宋体" w:eastAsia="宋体"/>
          <w:sz w:val="28"/>
          <w:szCs w:val="28"/>
        </w:rPr>
      </w:pPr>
    </w:p>
    <w:p w14:paraId="02348C61">
      <w:pPr>
        <w:spacing w:after="0" w:line="360" w:lineRule="auto"/>
        <w:ind w:firstLine="560" w:firstLineChars="200"/>
        <w:jc w:val="right"/>
        <w:rPr>
          <w:rFonts w:ascii="宋体" w:hAnsi="宋体" w:eastAsia="宋体"/>
          <w:sz w:val="28"/>
          <w:szCs w:val="28"/>
        </w:rPr>
      </w:pPr>
      <w:r>
        <w:rPr>
          <w:rFonts w:hint="eastAsia" w:ascii="宋体" w:hAnsi="宋体" w:eastAsia="宋体"/>
          <w:sz w:val="28"/>
          <w:szCs w:val="28"/>
        </w:rPr>
        <w:t>中国西部经济研究院</w:t>
      </w:r>
    </w:p>
    <w:p w14:paraId="1237844C">
      <w:pPr>
        <w:spacing w:after="0" w:line="360" w:lineRule="auto"/>
        <w:ind w:firstLine="560" w:firstLineChars="200"/>
        <w:jc w:val="right"/>
        <w:rPr>
          <w:rFonts w:ascii="宋体" w:hAnsi="宋体" w:eastAsia="宋体"/>
          <w:sz w:val="28"/>
          <w:szCs w:val="28"/>
        </w:rPr>
      </w:pPr>
      <w:r>
        <w:rPr>
          <w:rFonts w:ascii="宋体" w:hAnsi="宋体" w:eastAsia="宋体"/>
          <w:sz w:val="28"/>
          <w:szCs w:val="28"/>
        </w:rPr>
        <w:t>202</w:t>
      </w:r>
      <w:r>
        <w:rPr>
          <w:rFonts w:hint="eastAsia" w:ascii="宋体" w:hAnsi="宋体" w:eastAsia="宋体"/>
          <w:sz w:val="28"/>
          <w:szCs w:val="28"/>
        </w:rPr>
        <w:t>6年</w:t>
      </w:r>
      <w:r>
        <w:rPr>
          <w:rFonts w:ascii="宋体" w:hAnsi="宋体" w:eastAsia="宋体"/>
          <w:sz w:val="28"/>
          <w:szCs w:val="28"/>
        </w:rPr>
        <w:t>10</w:t>
      </w:r>
      <w:r>
        <w:rPr>
          <w:rFonts w:hint="eastAsia" w:ascii="宋体" w:hAnsi="宋体" w:eastAsia="宋体"/>
          <w:sz w:val="28"/>
          <w:szCs w:val="28"/>
        </w:rPr>
        <w:t>月9日</w:t>
      </w:r>
    </w:p>
    <w:p w14:paraId="21F2CA2D">
      <w:pPr>
        <w:spacing w:after="0" w:line="360" w:lineRule="auto"/>
        <w:ind w:firstLine="560" w:firstLineChars="200"/>
        <w:jc w:val="right"/>
        <w:rPr>
          <w:rFonts w:ascii="宋体" w:hAnsi="宋体" w:eastAsia="宋体"/>
          <w:sz w:val="28"/>
          <w:szCs w:val="28"/>
        </w:rPr>
      </w:pPr>
    </w:p>
    <w:sectPr>
      <w:footerReference r:id="rId5" w:type="default"/>
      <w:pgSz w:w="11906" w:h="16838"/>
      <w:pgMar w:top="1440" w:right="1701" w:bottom="1440" w:left="1701" w:header="709" w:footer="709" w:gutter="0"/>
      <w:cols w:space="708" w:num="1"/>
      <w:docGrid w:type="lines"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2942054"/>
      <w:docPartObj>
        <w:docPartGallery w:val="autotext"/>
      </w:docPartObj>
    </w:sdtPr>
    <w:sdtContent>
      <w:sdt>
        <w:sdtPr>
          <w:id w:val="171357217"/>
          <w:docPartObj>
            <w:docPartGallery w:val="autotext"/>
          </w:docPartObj>
        </w:sdtPr>
        <w:sdtContent>
          <w:p w14:paraId="77AFA2E6">
            <w:pPr>
              <w:pStyle w:val="2"/>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2</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5</w:t>
            </w:r>
            <w:r>
              <w:rPr>
                <w:b/>
                <w:sz w:val="24"/>
                <w:szCs w:val="24"/>
              </w:rPr>
              <w:fldChar w:fldCharType="end"/>
            </w:r>
          </w:p>
        </w:sdtContent>
      </w:sdt>
    </w:sdtContent>
  </w:sdt>
  <w:p w14:paraId="45E604A5">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C68"/>
    <w:rsid w:val="00023582"/>
    <w:rsid w:val="00027396"/>
    <w:rsid w:val="00042842"/>
    <w:rsid w:val="00043C68"/>
    <w:rsid w:val="00044B73"/>
    <w:rsid w:val="00053A7D"/>
    <w:rsid w:val="00065E9B"/>
    <w:rsid w:val="0008254A"/>
    <w:rsid w:val="000A184A"/>
    <w:rsid w:val="000A4939"/>
    <w:rsid w:val="000A7E58"/>
    <w:rsid w:val="00101037"/>
    <w:rsid w:val="001023A6"/>
    <w:rsid w:val="0011332E"/>
    <w:rsid w:val="001353D8"/>
    <w:rsid w:val="00135858"/>
    <w:rsid w:val="00143F0B"/>
    <w:rsid w:val="00145C0F"/>
    <w:rsid w:val="0015328B"/>
    <w:rsid w:val="00153831"/>
    <w:rsid w:val="001717EB"/>
    <w:rsid w:val="0017324D"/>
    <w:rsid w:val="00186552"/>
    <w:rsid w:val="00186C9C"/>
    <w:rsid w:val="00193335"/>
    <w:rsid w:val="001A500E"/>
    <w:rsid w:val="001C13B8"/>
    <w:rsid w:val="001D6ADA"/>
    <w:rsid w:val="0024252F"/>
    <w:rsid w:val="002623AA"/>
    <w:rsid w:val="00267211"/>
    <w:rsid w:val="00296FE5"/>
    <w:rsid w:val="002A0179"/>
    <w:rsid w:val="002A4D7D"/>
    <w:rsid w:val="002B0758"/>
    <w:rsid w:val="002C2EBC"/>
    <w:rsid w:val="002C3C55"/>
    <w:rsid w:val="002C6A23"/>
    <w:rsid w:val="002F455B"/>
    <w:rsid w:val="003048C2"/>
    <w:rsid w:val="00320438"/>
    <w:rsid w:val="00323B43"/>
    <w:rsid w:val="0033343A"/>
    <w:rsid w:val="00346CBE"/>
    <w:rsid w:val="00362395"/>
    <w:rsid w:val="00364136"/>
    <w:rsid w:val="00373EC3"/>
    <w:rsid w:val="0037521B"/>
    <w:rsid w:val="00376672"/>
    <w:rsid w:val="003836D8"/>
    <w:rsid w:val="00384BE5"/>
    <w:rsid w:val="003A02DC"/>
    <w:rsid w:val="003A39A3"/>
    <w:rsid w:val="003A3C27"/>
    <w:rsid w:val="003C1F1A"/>
    <w:rsid w:val="003D37D8"/>
    <w:rsid w:val="00415309"/>
    <w:rsid w:val="00425827"/>
    <w:rsid w:val="004358AB"/>
    <w:rsid w:val="004512DB"/>
    <w:rsid w:val="004C422E"/>
    <w:rsid w:val="004C6789"/>
    <w:rsid w:val="004E6AC3"/>
    <w:rsid w:val="004F003F"/>
    <w:rsid w:val="004F4851"/>
    <w:rsid w:val="00512992"/>
    <w:rsid w:val="00520E03"/>
    <w:rsid w:val="00521054"/>
    <w:rsid w:val="00552D01"/>
    <w:rsid w:val="005630C1"/>
    <w:rsid w:val="00564B9E"/>
    <w:rsid w:val="00572672"/>
    <w:rsid w:val="00590C98"/>
    <w:rsid w:val="005952A2"/>
    <w:rsid w:val="005B4571"/>
    <w:rsid w:val="005E6EE8"/>
    <w:rsid w:val="00601027"/>
    <w:rsid w:val="0069467F"/>
    <w:rsid w:val="006A71DE"/>
    <w:rsid w:val="006B6418"/>
    <w:rsid w:val="006B7265"/>
    <w:rsid w:val="006D655D"/>
    <w:rsid w:val="006F0A0B"/>
    <w:rsid w:val="006F1CBC"/>
    <w:rsid w:val="0070445F"/>
    <w:rsid w:val="00706CCA"/>
    <w:rsid w:val="00740D25"/>
    <w:rsid w:val="00743B47"/>
    <w:rsid w:val="007453FB"/>
    <w:rsid w:val="0079155A"/>
    <w:rsid w:val="00795FB1"/>
    <w:rsid w:val="0079613B"/>
    <w:rsid w:val="007A0CC3"/>
    <w:rsid w:val="007A0F05"/>
    <w:rsid w:val="007B74B1"/>
    <w:rsid w:val="007B7737"/>
    <w:rsid w:val="007D3D67"/>
    <w:rsid w:val="007E4882"/>
    <w:rsid w:val="007F7E1B"/>
    <w:rsid w:val="00800D7B"/>
    <w:rsid w:val="00810E8C"/>
    <w:rsid w:val="00811F5F"/>
    <w:rsid w:val="00820EC4"/>
    <w:rsid w:val="008276F5"/>
    <w:rsid w:val="008501E6"/>
    <w:rsid w:val="008823B1"/>
    <w:rsid w:val="00893253"/>
    <w:rsid w:val="0089337D"/>
    <w:rsid w:val="008970B7"/>
    <w:rsid w:val="008A2CEC"/>
    <w:rsid w:val="008B7726"/>
    <w:rsid w:val="008C130F"/>
    <w:rsid w:val="008D1213"/>
    <w:rsid w:val="008F5F0A"/>
    <w:rsid w:val="00902C66"/>
    <w:rsid w:val="00904334"/>
    <w:rsid w:val="00907E7D"/>
    <w:rsid w:val="00933FEE"/>
    <w:rsid w:val="00934D5D"/>
    <w:rsid w:val="00977049"/>
    <w:rsid w:val="00991136"/>
    <w:rsid w:val="0099517D"/>
    <w:rsid w:val="009B4CC5"/>
    <w:rsid w:val="009D5B41"/>
    <w:rsid w:val="009E0776"/>
    <w:rsid w:val="00A025D0"/>
    <w:rsid w:val="00A32305"/>
    <w:rsid w:val="00A414D5"/>
    <w:rsid w:val="00A43CEF"/>
    <w:rsid w:val="00A51695"/>
    <w:rsid w:val="00A52F8E"/>
    <w:rsid w:val="00A56F97"/>
    <w:rsid w:val="00A63BBF"/>
    <w:rsid w:val="00A64A54"/>
    <w:rsid w:val="00A806F1"/>
    <w:rsid w:val="00A80D83"/>
    <w:rsid w:val="00A93AAE"/>
    <w:rsid w:val="00AD4852"/>
    <w:rsid w:val="00AF3B93"/>
    <w:rsid w:val="00B1196F"/>
    <w:rsid w:val="00B507F5"/>
    <w:rsid w:val="00B52514"/>
    <w:rsid w:val="00B53B73"/>
    <w:rsid w:val="00B7487B"/>
    <w:rsid w:val="00B7563D"/>
    <w:rsid w:val="00B77ED2"/>
    <w:rsid w:val="00B819D0"/>
    <w:rsid w:val="00B81AE0"/>
    <w:rsid w:val="00BE31BD"/>
    <w:rsid w:val="00BF4B9F"/>
    <w:rsid w:val="00C81FF7"/>
    <w:rsid w:val="00C9207D"/>
    <w:rsid w:val="00CA1075"/>
    <w:rsid w:val="00CC3969"/>
    <w:rsid w:val="00CD6AB3"/>
    <w:rsid w:val="00CE06C4"/>
    <w:rsid w:val="00CE14A3"/>
    <w:rsid w:val="00CE36C5"/>
    <w:rsid w:val="00CE66B1"/>
    <w:rsid w:val="00D07C0D"/>
    <w:rsid w:val="00D128CA"/>
    <w:rsid w:val="00D170D1"/>
    <w:rsid w:val="00D27962"/>
    <w:rsid w:val="00D36F8A"/>
    <w:rsid w:val="00D370BC"/>
    <w:rsid w:val="00D452E9"/>
    <w:rsid w:val="00D5202F"/>
    <w:rsid w:val="00D53E97"/>
    <w:rsid w:val="00D5691A"/>
    <w:rsid w:val="00D57B48"/>
    <w:rsid w:val="00D91669"/>
    <w:rsid w:val="00D966E0"/>
    <w:rsid w:val="00DA6C05"/>
    <w:rsid w:val="00DD2BC4"/>
    <w:rsid w:val="00DE28D4"/>
    <w:rsid w:val="00E14B74"/>
    <w:rsid w:val="00E14C9C"/>
    <w:rsid w:val="00E3058E"/>
    <w:rsid w:val="00E377A4"/>
    <w:rsid w:val="00E50A73"/>
    <w:rsid w:val="00E513A2"/>
    <w:rsid w:val="00E708F9"/>
    <w:rsid w:val="00E7703F"/>
    <w:rsid w:val="00E771E1"/>
    <w:rsid w:val="00E87C80"/>
    <w:rsid w:val="00E96772"/>
    <w:rsid w:val="00EC06F1"/>
    <w:rsid w:val="00EC189D"/>
    <w:rsid w:val="00EE2A8C"/>
    <w:rsid w:val="00EE6949"/>
    <w:rsid w:val="00EF351D"/>
    <w:rsid w:val="00EF67BC"/>
    <w:rsid w:val="00F151A2"/>
    <w:rsid w:val="00F21588"/>
    <w:rsid w:val="00F57CB3"/>
    <w:rsid w:val="00F67259"/>
    <w:rsid w:val="00FA3493"/>
    <w:rsid w:val="00FA5F9F"/>
    <w:rsid w:val="00FB7A01"/>
    <w:rsid w:val="00FC0C5C"/>
    <w:rsid w:val="00FC3E86"/>
    <w:rsid w:val="00FF274B"/>
    <w:rsid w:val="2E286BD8"/>
    <w:rsid w:val="4FA576F7"/>
    <w:rsid w:val="6BBD5B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imes New Roman"/>
      <w:sz w:val="22"/>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jc w:val="center"/>
    </w:pPr>
    <w:rPr>
      <w:sz w:val="18"/>
      <w:szCs w:val="18"/>
    </w:rPr>
  </w:style>
  <w:style w:type="table" w:styleId="5">
    <w:name w:val="Table Grid"/>
    <w:basedOn w:val="4"/>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
    <w:name w:val="List Paragraph"/>
    <w:basedOn w:val="1"/>
    <w:qFormat/>
    <w:uiPriority w:val="34"/>
    <w:pPr>
      <w:ind w:firstLine="420" w:firstLineChars="200"/>
    </w:pPr>
  </w:style>
  <w:style w:type="character" w:customStyle="1" w:styleId="8">
    <w:name w:val="页眉 字符"/>
    <w:basedOn w:val="6"/>
    <w:link w:val="3"/>
    <w:qFormat/>
    <w:uiPriority w:val="99"/>
    <w:rPr>
      <w:rFonts w:ascii="Tahoma" w:hAnsi="Tahoma" w:cs="Times New Roman"/>
      <w:sz w:val="18"/>
      <w:szCs w:val="18"/>
    </w:rPr>
  </w:style>
  <w:style w:type="character" w:customStyle="1" w:styleId="9">
    <w:name w:val="页脚 字符"/>
    <w:basedOn w:val="6"/>
    <w:link w:val="2"/>
    <w:qFormat/>
    <w:uiPriority w:val="99"/>
    <w:rPr>
      <w:rFonts w:ascii="Tahoma" w:hAnsi="Tahoma" w:cs="Times New Roman"/>
      <w:sz w:val="18"/>
      <w:szCs w:val="18"/>
    </w:rPr>
  </w:style>
  <w:style w:type="character" w:customStyle="1" w:styleId="10">
    <w:name w:val="apple-converted-space"/>
    <w:basedOn w:val="6"/>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西南财经大学</Company>
  <Pages>4</Pages>
  <Words>1240</Words>
  <Characters>1292</Characters>
  <Lines>14</Lines>
  <Paragraphs>4</Paragraphs>
  <TotalTime>0</TotalTime>
  <ScaleCrop>false</ScaleCrop>
  <LinksUpToDate>false</LinksUpToDate>
  <CharactersWithSpaces>1293</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2023-10-08T03:25:00Z</dcterms:created>
  <dc:creator>xc20121008</dc:creator>
  <cp:lastModifiedBy>罗侃</cp:lastModifiedBy>
  <cp:lastPrinted>2018-10-31T05:31:00Z</cp:lastPrinted>
  <dcterms:modified xsi:type="dcterms:W3CDTF">2026-10-09T04:59:21Z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eyJoZGlkIjoiNjk3OTZmZDkzNGNlYjZkYmNhNzljMjhlMGE0ZDgxOGIiLCJ1c2VySWQiOiIxNzA3MDMzMzU3In0=</vt:lpwstr>
  </property>
  <property fmtid="{D5CDD505-2E9C-101B-9397-08002B2CF9AE}" pid="3" name="KSOProductBuildVer">
    <vt:lpwstr>2052-12.1.0.23125</vt:lpwstr>
  </property>
  <property fmtid="{D5CDD505-2E9C-101B-9397-08002B2CF9AE}" pid="4" name="ICV">
    <vt:lpwstr>13EB6F51B0174EF4A00BFFB987E77AEB_12</vt:lpwstr>
  </property>
</Properties>
</file>